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center"/>
        <w:spacing w:lineRule="exact" w:line="360" w:before="0" w:after="0"/>
        <w:ind w:right="0" w:firstLine="0"/>
        <w:rPr>
          <w:b w:val="1"/>
          <w:color w:val="auto"/>
          <w:position w:val="0"/>
          <w:sz w:val="30"/>
          <w:szCs w:val="30"/>
          <w:rFonts w:ascii="Calibri" w:eastAsia="Calibri" w:hAnsi="Calibri" w:hint="default"/>
        </w:rPr>
        <w:autoSpaceDE w:val="1"/>
        <w:autoSpaceDN w:val="1"/>
      </w:pPr>
      <w:r>
        <w:rPr>
          <w:sz w:val="20"/>
        </w:rPr>
        <w:pict>
          <v:shapetype id="_x0000_t202" coordsize="21600,21600" o:spt="202" o:preferrelative="t" path="m,l,21600r21600,l21600,xe">
            <v:stroke joinstyle="miter"/>
          </v:shapetype>
          <v:shape id="_x0000_s9" type="#_x0000_t202" style="position:absolute;left:0;margin-left:42pt;mso-position-horizontal:absolute;mso-position-horizontal-relative:page;margin-top:28pt;mso-position-vertical:absolute;mso-position-vertical-relative:page;width:207.5pt;height:22.1pt;z-index:251624965" stroked="f" fillcolor="white" filled="t">
            <v:textbox style="" inset="7pt,4pt,7pt,4pt">
              <w:txbxContent>
                <w:p>
                  <w:pPr>
                    <w:numPr>
                      <w:ilvl w:val="0"/>
                      <w:numId w:val="0"/>
                    </w:numPr>
                    <w:jc w:val="left"/>
                    <w:spacing w:lineRule="auto" w:line="240" w:before="0" w:after="0"/>
                    <w:ind w:right="0" w:firstLine="0"/>
                    <w:rPr>
                      <w:spacing w:val="20"/>
                      <w:color w:val="auto"/>
                      <w:position w:val="0"/>
                      <w:sz w:val="24"/>
                      <w:szCs w:val="24"/>
                      <w:rFonts w:ascii="宋体" w:eastAsia="宋体" w:hAnsi="宋体" w:hint="default"/>
                    </w:rPr>
                    <w:autoSpaceDE w:val="1"/>
                    <w:autoSpaceDN w:val="1"/>
                  </w:pPr>
                  <w:r>
                    <w:rPr>
                      <w:spacing w:val="20"/>
                      <w:color w:val="auto"/>
                      <w:position w:val="0"/>
                      <w:sz w:val="24"/>
                      <w:szCs w:val="24"/>
                      <w:rFonts w:ascii="宋体" w:eastAsia="Calibri" w:hAnsi="Calibri" w:hint="default"/>
                    </w:rPr>
                    <w:t>SJQU-</w:t>
                  </w:r>
                  <w:r>
                    <w:rPr>
                      <w:spacing w:val="20"/>
                      <w:color w:val="auto"/>
                      <w:position w:val="0"/>
                      <w:sz w:val="24"/>
                      <w:szCs w:val="24"/>
                      <w:rFonts w:ascii="宋体" w:eastAsia="宋体" w:hAnsi="宋体" w:hint="default"/>
                    </w:rPr>
                    <w:t>Q</w:t>
                  </w:r>
                  <w:r>
                    <w:rPr>
                      <w:spacing w:val="20"/>
                      <w:color w:val="auto"/>
                      <w:position w:val="0"/>
                      <w:sz w:val="24"/>
                      <w:szCs w:val="24"/>
                      <w:rFonts w:ascii="宋体" w:eastAsia="Calibri" w:hAnsi="Calibri" w:hint="default"/>
                    </w:rPr>
                    <w:t>R-JW-</w:t>
                  </w:r>
                  <w:r>
                    <w:rPr>
                      <w:spacing w:val="20"/>
                      <w:color w:val="auto"/>
                      <w:position w:val="0"/>
                      <w:sz w:val="24"/>
                      <w:szCs w:val="24"/>
                      <w:rFonts w:ascii="宋体" w:eastAsia="宋体" w:hAnsi="宋体" w:hint="default"/>
                    </w:rPr>
                    <w:t>0</w:t>
                  </w:r>
                  <w:r>
                    <w:rPr>
                      <w:spacing w:val="20"/>
                      <w:color w:val="auto"/>
                      <w:position w:val="0"/>
                      <w:sz w:val="24"/>
                      <w:szCs w:val="24"/>
                      <w:rFonts w:ascii="宋体" w:eastAsia="Calibri" w:hAnsi="Calibri" w:hint="default"/>
                    </w:rPr>
                    <w:t>33（A</w:t>
                  </w:r>
                  <w:r>
                    <w:rPr>
                      <w:spacing w:val="20"/>
                      <w:color w:val="auto"/>
                      <w:position w:val="0"/>
                      <w:sz w:val="24"/>
                      <w:szCs w:val="24"/>
                      <w:rFonts w:ascii="宋体" w:eastAsia="宋体" w:hAnsi="宋体" w:hint="default"/>
                    </w:rPr>
                    <w:t>0）</w:t>
                  </w:r>
                </w:p>
              </w:txbxContent>
            </v:textbox>
          </v:shape>
        </w:pict>
      </w:r>
      <w:r>
        <w:rPr>
          <w:b w:val="1"/>
          <w:color w:val="auto"/>
          <w:position w:val="0"/>
          <w:sz w:val="30"/>
          <w:szCs w:val="30"/>
          <w:rFonts w:ascii="Calibri" w:eastAsia="Calibri" w:hAnsi="Calibri" w:hint="default"/>
        </w:rPr>
        <w:t>【</w:t>
      </w:r>
      <w:r>
        <w:rPr>
          <w:b w:val="1"/>
          <w:color w:val="auto"/>
          <w:position w:val="0"/>
          <w:sz w:val="30"/>
          <w:szCs w:val="30"/>
          <w:rFonts w:ascii="宋体" w:eastAsia="Calibri" w:hAnsi="Calibri" w:hint="default"/>
        </w:rPr>
        <w:t>钻石和钻石分级</w:t>
      </w:r>
      <w:r>
        <w:rPr>
          <w:b w:val="1"/>
          <w:color w:val="auto"/>
          <w:position w:val="0"/>
          <w:sz w:val="30"/>
          <w:szCs w:val="30"/>
          <w:rFonts w:ascii="Calibri" w:eastAsia="Calibri" w:hAnsi="Calibri" w:hint="default"/>
        </w:rPr>
        <w:t>】</w:t>
      </w:r>
    </w:p>
    <w:p>
      <w:pPr>
        <w:numPr>
          <w:ilvl w:val="0"/>
          <w:numId w:val="0"/>
        </w:numPr>
        <w:jc w:val="center"/>
        <w:spacing w:lineRule="exact" w:line="360" w:before="0" w:after="0"/>
        <w:ind w:right="0" w:firstLine="0"/>
        <w:rPr>
          <w:b w:val="1"/>
          <w:color w:val="auto"/>
          <w:position w:val="0"/>
          <w:sz w:val="30"/>
          <w:szCs w:val="30"/>
          <w:rFonts w:ascii="Calibri" w:eastAsia="Calibri" w:hAnsi="Calibri" w:hint="default"/>
        </w:rPr>
        <w:autoSpaceDE w:val="1"/>
        <w:autoSpaceDN w:val="1"/>
      </w:pPr>
      <w:r>
        <w:rPr>
          <w:b w:val="1"/>
          <w:color w:val="auto"/>
          <w:position w:val="0"/>
          <w:sz w:val="30"/>
          <w:szCs w:val="30"/>
          <w:rFonts w:ascii="Calibri" w:eastAsia="Calibri" w:hAnsi="Calibri" w:hint="default"/>
        </w:rPr>
        <w:t xml:space="preserve">【Diamond Grading】</w:t>
      </w:r>
      <w:bookmarkStart w:id="1" w:name="a2"/>
      <w:bookmarkEnd w:id="1"/>
    </w:p>
    <w:p>
      <w:pPr>
        <w:numPr>
          <w:ilvl w:val="0"/>
          <w:numId w:val="0"/>
        </w:numPr>
        <w:jc w:val="both"/>
        <w:spacing w:lineRule="exact" w:line="360" w:before="0" w:after="0"/>
        <w:ind w:right="0" w:firstLine="360"/>
        <w:rPr>
          <w:b w:val="1"/>
          <w:color w:val="008080"/>
          <w:position w:val="0"/>
          <w:sz w:val="30"/>
          <w:szCs w:val="3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黑体" w:eastAsia="黑体" w:hAnsi="黑体" w:hint="default"/>
        </w:rPr>
        <w:t>一、基本信息</w:t>
      </w:r>
    </w:p>
    <w:p>
      <w:pPr>
        <w:numPr>
          <w:ilvl w:val="0"/>
          <w:numId w:val="0"/>
        </w:numPr>
        <w:jc w:val="both"/>
        <w:spacing w:lineRule="exact" w:line="360" w:before="0" w:after="0"/>
        <w:ind w:right="0" w:firstLine="394"/>
        <w:rPr>
          <w:color w:val="000000"/>
          <w:position w:val="0"/>
          <w:sz w:val="20"/>
          <w:szCs w:val="20"/>
          <w:rFonts w:ascii="Calibri" w:eastAsia="Calibri" w:hAnsi="Calibri" w:hint="default"/>
        </w:rPr>
        <w:snapToGrid w:val="off"/>
        <w:autoSpaceDE w:val="1"/>
        <w:autoSpaceDN w:val="1"/>
      </w:pPr>
      <w:r>
        <w:rPr>
          <w:b w:val="1"/>
          <w:color w:val="000000"/>
          <w:position w:val="0"/>
          <w:sz w:val="20"/>
          <w:szCs w:val="20"/>
          <w:rFonts w:ascii="Calibri" w:eastAsia="Calibri" w:hAnsi="Calibri" w:hint="default"/>
        </w:rPr>
        <w:t>课程代码：</w:t>
      </w:r>
      <w:r>
        <w:rPr>
          <w:color w:val="000000"/>
          <w:position w:val="0"/>
          <w:sz w:val="20"/>
          <w:szCs w:val="20"/>
          <w:rFonts w:ascii="Calibri" w:eastAsia="Calibri" w:hAnsi="Calibri" w:hint="default"/>
        </w:rPr>
        <w:t>【</w:t>
      </w:r>
      <w:r>
        <w:rPr>
          <w:color w:val="auto"/>
          <w:position w:val="0"/>
          <w:sz w:val="20"/>
          <w:szCs w:val="20"/>
          <w:rFonts w:ascii="宋体" w:eastAsia="Calibri" w:hAnsi="Calibri" w:hint="default"/>
        </w:rPr>
        <w:t>2120061</w:t>
      </w:r>
      <w:r>
        <w:rPr>
          <w:color w:val="000000"/>
          <w:position w:val="0"/>
          <w:sz w:val="20"/>
          <w:szCs w:val="20"/>
          <w:rFonts w:ascii="Calibri" w:eastAsia="Calibri" w:hAnsi="Calibri" w:hint="default"/>
        </w:rPr>
        <w:t>】</w:t>
      </w:r>
    </w:p>
    <w:p>
      <w:pPr>
        <w:numPr>
          <w:ilvl w:val="0"/>
          <w:numId w:val="0"/>
        </w:numPr>
        <w:jc w:val="both"/>
        <w:spacing w:lineRule="exact" w:line="360" w:before="0" w:after="0"/>
        <w:ind w:right="0" w:firstLine="394"/>
        <w:rPr>
          <w:color w:val="000000"/>
          <w:position w:val="0"/>
          <w:sz w:val="20"/>
          <w:szCs w:val="20"/>
          <w:rFonts w:ascii="Calibri" w:eastAsia="Calibri" w:hAnsi="Calibri" w:hint="default"/>
        </w:rPr>
        <w:snapToGrid w:val="off"/>
        <w:autoSpaceDE w:val="1"/>
        <w:autoSpaceDN w:val="1"/>
      </w:pPr>
      <w:r>
        <w:rPr>
          <w:b w:val="1"/>
          <w:color w:val="000000"/>
          <w:position w:val="0"/>
          <w:sz w:val="20"/>
          <w:szCs w:val="20"/>
          <w:rFonts w:ascii="Calibri" w:eastAsia="Calibri" w:hAnsi="Calibri" w:hint="default"/>
        </w:rPr>
        <w:t>课程学分：</w:t>
      </w:r>
      <w:r>
        <w:rPr>
          <w:color w:val="000000"/>
          <w:position w:val="0"/>
          <w:sz w:val="20"/>
          <w:szCs w:val="20"/>
          <w:rFonts w:ascii="Calibri" w:eastAsia="Calibri" w:hAnsi="Calibri" w:hint="default"/>
        </w:rPr>
        <w:t>【</w:t>
      </w:r>
      <w:r>
        <w:rPr>
          <w:color w:val="auto"/>
          <w:position w:val="0"/>
          <w:sz w:val="20"/>
          <w:szCs w:val="20"/>
          <w:rFonts w:ascii="宋体" w:eastAsia="Calibri" w:hAnsi="Calibri" w:hint="default"/>
        </w:rPr>
        <w:t>3</w:t>
      </w:r>
      <w:r>
        <w:rPr>
          <w:color w:val="000000"/>
          <w:position w:val="0"/>
          <w:sz w:val="20"/>
          <w:szCs w:val="20"/>
          <w:rFonts w:ascii="Calibri" w:eastAsia="Calibri" w:hAnsi="Calibri" w:hint="default"/>
        </w:rPr>
        <w:t>】</w:t>
      </w:r>
    </w:p>
    <w:p>
      <w:pPr>
        <w:numPr>
          <w:ilvl w:val="0"/>
          <w:numId w:val="0"/>
        </w:numPr>
        <w:jc w:val="both"/>
        <w:spacing w:lineRule="exact" w:line="360" w:before="0" w:after="0"/>
        <w:ind w:right="0" w:firstLine="394"/>
        <w:rPr>
          <w:color w:val="000000"/>
          <w:position w:val="0"/>
          <w:sz w:val="20"/>
          <w:szCs w:val="20"/>
          <w:rFonts w:ascii="Calibri" w:eastAsia="Calibri" w:hAnsi="Calibri" w:hint="default"/>
        </w:rPr>
        <w:snapToGrid w:val="off"/>
        <w:autoSpaceDE w:val="1"/>
        <w:autoSpaceDN w:val="1"/>
      </w:pPr>
      <w:r>
        <w:rPr>
          <w:b w:val="1"/>
          <w:color w:val="000000"/>
          <w:position w:val="0"/>
          <w:sz w:val="20"/>
          <w:szCs w:val="20"/>
          <w:rFonts w:ascii="Calibri" w:eastAsia="Calibri" w:hAnsi="Calibri" w:hint="default"/>
        </w:rPr>
        <w:t>面向专业：</w:t>
      </w:r>
      <w:r>
        <w:rPr>
          <w:color w:val="000000"/>
          <w:position w:val="0"/>
          <w:sz w:val="20"/>
          <w:szCs w:val="20"/>
          <w:rFonts w:ascii="Calibri" w:eastAsia="Calibri" w:hAnsi="Calibri" w:hint="default"/>
        </w:rPr>
        <w:t>【</w:t>
      </w:r>
      <w:r>
        <w:rPr>
          <w:color w:val="auto"/>
          <w:position w:val="0"/>
          <w:sz w:val="20"/>
          <w:szCs w:val="20"/>
          <w:rFonts w:ascii="宋体" w:eastAsia="Calibri" w:hAnsi="Calibri" w:hint="default"/>
        </w:rPr>
        <w:t>工商管理专业</w:t>
      </w:r>
      <w:r>
        <w:rPr>
          <w:color w:val="auto"/>
          <w:position w:val="0"/>
          <w:sz w:val="20"/>
          <w:szCs w:val="20"/>
          <w:rFonts w:ascii="宋体" w:eastAsia="宋体" w:hAnsi="宋体" w:hint="default"/>
        </w:rPr>
        <w:t>】</w:t>
      </w:r>
    </w:p>
    <w:p>
      <w:pPr>
        <w:numPr>
          <w:ilvl w:val="0"/>
          <w:numId w:val="0"/>
        </w:numPr>
        <w:jc w:val="both"/>
        <w:spacing w:lineRule="exact" w:line="360" w:before="0" w:after="0"/>
        <w:ind w:right="0" w:firstLine="394"/>
        <w:rPr>
          <w:color w:val="000000" w:themeColor="text1"/>
          <w:position w:val="0"/>
          <w:sz w:val="20"/>
          <w:szCs w:val="20"/>
          <w:rFonts w:ascii="Calibri" w:eastAsia="Calibri" w:hAnsi="Calibri" w:hint="default"/>
        </w:rPr>
        <w:snapToGrid w:val="off"/>
        <w:autoSpaceDE w:val="1"/>
        <w:autoSpaceDN w:val="1"/>
      </w:pPr>
      <w:r>
        <w:rPr>
          <w:b w:val="1"/>
          <w:color w:val="000000" w:themeColor="text1"/>
          <w:position w:val="0"/>
          <w:sz w:val="20"/>
          <w:szCs w:val="20"/>
          <w:rFonts w:ascii="Calibri" w:eastAsia="Calibri" w:hAnsi="Calibri" w:hint="default"/>
        </w:rPr>
        <w:t>课程性质：</w:t>
      </w:r>
      <w:r>
        <w:rPr>
          <w:color w:val="000000" w:themeColor="text1"/>
          <w:position w:val="0"/>
          <w:sz w:val="20"/>
          <w:szCs w:val="20"/>
          <w:rFonts w:ascii="Calibri" w:eastAsia="Calibri" w:hAnsi="Calibri" w:hint="default"/>
        </w:rPr>
        <w:t>【</w:t>
      </w:r>
      <w:r>
        <w:rPr>
          <w:color w:val="000000" w:themeColor="text1"/>
          <w:position w:val="0"/>
          <w:sz w:val="20"/>
          <w:szCs w:val="20"/>
          <w:rFonts w:ascii="宋体" w:eastAsia="Calibri" w:hAnsi="Calibri" w:hint="default"/>
        </w:rPr>
        <w:t>院级必修课</w:t>
      </w:r>
      <w:r>
        <w:rPr>
          <w:color w:val="000000" w:themeColor="text1"/>
          <w:position w:val="0"/>
          <w:sz w:val="20"/>
          <w:szCs w:val="20"/>
          <w:rFonts w:ascii="Calibri" w:eastAsia="Calibri" w:hAnsi="Calibri" w:hint="default"/>
        </w:rPr>
        <w:t>】</w:t>
      </w:r>
    </w:p>
    <w:p>
      <w:pPr>
        <w:numPr>
          <w:ilvl w:val="0"/>
          <w:numId w:val="0"/>
        </w:numPr>
        <w:jc w:val="both"/>
        <w:spacing w:lineRule="exact" w:line="360" w:before="0" w:after="0"/>
        <w:ind w:right="0" w:firstLine="394"/>
        <w:rPr>
          <w:b w:val="1"/>
          <w:color w:val="000000"/>
          <w:position w:val="0"/>
          <w:sz w:val="20"/>
          <w:szCs w:val="20"/>
          <w:rFonts w:ascii="Calibri" w:eastAsia="Calibri" w:hAnsi="Calibri" w:hint="default"/>
        </w:rPr>
        <w:snapToGrid w:val="off"/>
        <w:autoSpaceDE w:val="1"/>
        <w:autoSpaceDN w:val="1"/>
      </w:pPr>
      <w:r>
        <w:rPr>
          <w:b w:val="1"/>
          <w:color w:val="000000"/>
          <w:position w:val="0"/>
          <w:sz w:val="20"/>
          <w:szCs w:val="20"/>
          <w:rFonts w:ascii="Calibri" w:eastAsia="Calibri" w:hAnsi="Calibri" w:hint="default"/>
        </w:rPr>
        <w:t>开课院系：</w:t>
      </w:r>
      <w:r>
        <w:rPr>
          <w:color w:val="000000"/>
          <w:position w:val="0"/>
          <w:sz w:val="20"/>
          <w:szCs w:val="20"/>
          <w:rFonts w:ascii="Calibri" w:eastAsia="Calibri" w:hAnsi="Calibri" w:hint="default"/>
        </w:rPr>
        <w:t>【</w:t>
      </w:r>
      <w:r>
        <w:rPr>
          <w:color w:val="auto"/>
          <w:position w:val="0"/>
          <w:sz w:val="20"/>
          <w:szCs w:val="20"/>
          <w:rFonts w:ascii="宋体" w:eastAsia="Calibri" w:hAnsi="Calibri" w:hint="default"/>
        </w:rPr>
        <w:t>珠宝学院宝石及材料工艺学专业</w:t>
      </w:r>
      <w:r>
        <w:rPr>
          <w:color w:val="000000"/>
          <w:position w:val="0"/>
          <w:sz w:val="20"/>
          <w:szCs w:val="20"/>
          <w:rFonts w:ascii="Calibri" w:eastAsia="Calibri" w:hAnsi="Calibri" w:hint="default"/>
        </w:rPr>
        <w:t>】</w:t>
      </w:r>
    </w:p>
    <w:p>
      <w:pPr>
        <w:numPr>
          <w:ilvl w:val="0"/>
          <w:numId w:val="0"/>
        </w:numPr>
        <w:jc w:val="both"/>
        <w:spacing w:lineRule="exact" w:line="360" w:before="0" w:after="0"/>
        <w:ind w:right="0" w:firstLine="394"/>
        <w:rPr>
          <w:color w:val="auto"/>
          <w:position w:val="0"/>
          <w:sz w:val="20"/>
          <w:szCs w:val="20"/>
          <w:rFonts w:ascii="Calibri" w:eastAsia="Calibri" w:hAnsi="Calibri" w:hint="default"/>
        </w:rPr>
        <w:snapToGrid w:val="off"/>
        <w:autoSpaceDE w:val="1"/>
        <w:autoSpaceDN w:val="1"/>
      </w:pPr>
      <w:r>
        <w:rPr>
          <w:b w:val="1"/>
          <w:color w:val="000000"/>
          <w:position w:val="0"/>
          <w:sz w:val="20"/>
          <w:szCs w:val="20"/>
          <w:rFonts w:ascii="Calibri" w:eastAsia="Calibri" w:hAnsi="Calibri" w:hint="default"/>
        </w:rPr>
        <w:t>使用教材：主教材：</w:t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>《钻石及钻石分级》，杜广鹏、秦宏宇编著，中国地质大学出版社，第二版</w:t>
      </w:r>
    </w:p>
    <w:p>
      <w:pPr>
        <w:numPr>
          <w:ilvl w:val="0"/>
          <w:numId w:val="0"/>
        </w:numPr>
        <w:jc w:val="both"/>
        <w:spacing w:lineRule="exact" w:line="360" w:before="0" w:after="0"/>
        <w:ind w:right="0" w:firstLine="1405"/>
        <w:rPr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b w:val="1"/>
          <w:color w:val="auto"/>
          <w:position w:val="0"/>
          <w:sz w:val="20"/>
          <w:szCs w:val="20"/>
          <w:rFonts w:ascii="Calibri" w:eastAsia="Calibri" w:hAnsi="Calibri" w:hint="default"/>
        </w:rPr>
        <w:t>辅助教材：</w:t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>《国际钻石分级概论》，史恩赐编著，地质出版社，第三版</w:t>
      </w:r>
    </w:p>
    <w:p>
      <w:pPr>
        <w:numPr>
          <w:ilvl w:val="0"/>
          <w:numId w:val="0"/>
        </w:numPr>
        <w:jc w:val="both"/>
        <w:spacing w:lineRule="exact" w:line="360" w:before="0" w:after="0"/>
        <w:ind w:right="0" w:firstLine="2500"/>
        <w:rPr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>《钻石宝石学》，王雅玫、张艳编著，地质出版社</w:t>
      </w:r>
    </w:p>
    <w:p>
      <w:pPr>
        <w:numPr>
          <w:ilvl w:val="0"/>
          <w:numId w:val="0"/>
        </w:numPr>
        <w:jc w:val="both"/>
        <w:spacing w:lineRule="auto" w:line="288" w:before="0" w:after="0"/>
        <w:ind w:right="0" w:firstLine="394"/>
        <w:rPr>
          <w:b w:val="1"/>
          <w:color w:val="000000"/>
          <w:position w:val="0"/>
          <w:sz w:val="20"/>
          <w:szCs w:val="20"/>
          <w:rFonts w:ascii="Calibri" w:eastAsia="Calibri" w:hAnsi="Calibri" w:hint="default"/>
        </w:rPr>
        <w:snapToGrid w:val="off"/>
        <w:autoSpaceDE w:val="1"/>
        <w:autoSpaceDN w:val="1"/>
      </w:pPr>
      <w:r>
        <w:rPr>
          <w:b w:val="1"/>
          <w:color w:val="000000"/>
          <w:position w:val="0"/>
          <w:sz w:val="20"/>
          <w:szCs w:val="20"/>
          <w:rFonts w:ascii="Calibri" w:eastAsia="Calibri" w:hAnsi="Calibri" w:hint="default"/>
        </w:rPr>
        <w:t>课程网站网址：</w:t>
      </w:r>
    </w:p>
    <w:p>
      <w:pPr>
        <w:numPr>
          <w:ilvl w:val="0"/>
          <w:numId w:val="0"/>
        </w:numPr>
        <w:jc w:val="both"/>
        <w:spacing w:lineRule="auto" w:line="288" w:before="0" w:after="0"/>
        <w:ind w:right="0" w:firstLine="392"/>
        <w:rPr>
          <w:color w:val="auto"/>
          <w:position w:val="0"/>
          <w:sz w:val="20"/>
          <w:szCs w:val="20"/>
          <w:rFonts w:ascii="Calibri" w:eastAsia="Calibri" w:hAnsi="Calibri" w:hint="default"/>
        </w:rPr>
        <w:snapToGrid w:val="off"/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>https://elearning.gench.edu.cn:8443/webapps/blackboard/execute/modulepage/view?course_id=_10</w:t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>526_1&amp;cmp_tab_id=_11206_1&amp;editMode=true&amp;mode=cpview</w:t>
      </w:r>
    </w:p>
    <w:p>
      <w:pPr>
        <w:numPr>
          <w:ilvl w:val="0"/>
          <w:numId w:val="0"/>
        </w:numPr>
        <w:jc w:val="both"/>
        <w:spacing w:lineRule="auto" w:line="288" w:before="0" w:after="0"/>
        <w:ind w:right="0" w:firstLine="394"/>
        <w:rPr>
          <w:b w:val="1"/>
          <w:color w:val="000000"/>
          <w:position w:val="0"/>
          <w:sz w:val="20"/>
          <w:szCs w:val="20"/>
          <w:rFonts w:ascii="Calibri" w:eastAsia="Calibri" w:hAnsi="Calibri" w:hint="default"/>
        </w:rPr>
        <w:snapToGrid w:val="off"/>
        <w:autoSpaceDE w:val="1"/>
        <w:autoSpaceDN w:val="1"/>
      </w:pPr>
      <w:r>
        <w:rPr>
          <w:b w:val="1"/>
          <w:color w:val="000000"/>
          <w:position w:val="0"/>
          <w:sz w:val="20"/>
          <w:szCs w:val="20"/>
          <w:rFonts w:ascii="Calibri" w:eastAsia="Calibri" w:hAnsi="Calibri" w:hint="default"/>
        </w:rPr>
        <w:t xml:space="preserve">先修课程： </w:t>
      </w:r>
    </w:p>
    <w:p>
      <w:pPr>
        <w:numPr>
          <w:ilvl w:val="0"/>
          <w:numId w:val="0"/>
        </w:numPr>
        <w:jc w:val="both"/>
        <w:spacing w:lineRule="exact" w:line="360" w:before="0" w:after="0"/>
        <w:ind w:right="0" w:firstLine="1462"/>
        <w:rPr>
          <w:color w:val="auto"/>
          <w:position w:val="0"/>
          <w:sz w:val="21"/>
          <w:szCs w:val="21"/>
          <w:rFonts w:ascii="Calibri" w:eastAsia="Calibri" w:hAnsi="Calibri" w:hint="default"/>
        </w:rPr>
        <w:snapToGrid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360" w:before="0" w:after="0"/>
        <w:ind w:right="0" w:firstLine="348"/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黑体" w:eastAsia="黑体" w:hAnsi="黑体" w:hint="default"/>
        </w:rPr>
        <w:t>二、课程简介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420"/>
        <w:rPr>
          <w:spacing w:val="0"/>
          <w:vertAlign w:val="baseline"/>
          <w:color w:val="auto"/>
          <w:position w:val="0"/>
          <w:sz w:val="21"/>
          <w:szCs w:val="21"/>
          <w:smallCaps w:val="0"/>
          <w:rFonts w:ascii="Calibri" w:eastAsia="Calibri" w:hAnsi="Calibri" w:hint="default"/>
        </w:rPr>
      </w:pPr>
      <w:r>
        <w:rPr>
          <w:spacing w:val="0"/>
          <w:vertAlign w:val="baseline"/>
          <w:i w:val="0"/>
          <w:b w:val="0"/>
          <w:color w:val="auto"/>
          <w:position w:val="0"/>
          <w:sz w:val="21"/>
          <w:szCs w:val="21"/>
          <w:smallCaps w:val="0"/>
          <w:rFonts w:ascii="Calibri" w:eastAsia="Calibri" w:hAnsi="Calibri" w:hint="default"/>
        </w:rPr>
        <w:t>本课程主要讲授钻石的基本性质、钻石4C分级、钻石鉴定及优化处理，其中以钻石4C分级为</w:t>
      </w:r>
      <w:r>
        <w:rPr>
          <w:spacing w:val="0"/>
          <w:vertAlign w:val="baseline"/>
          <w:i w:val="0"/>
          <w:b w:val="0"/>
          <w:color w:val="auto"/>
          <w:position w:val="0"/>
          <w:sz w:val="21"/>
          <w:szCs w:val="21"/>
          <w:smallCaps w:val="0"/>
          <w:rFonts w:ascii="Calibri" w:eastAsia="Calibri" w:hAnsi="Calibri" w:hint="default"/>
        </w:rPr>
        <w:t>授课的主要内容，包括净度分级、颜色分级、切工分级和重量分级等。钻石鉴定主要介绍钻石与</w:t>
      </w:r>
      <w:r>
        <w:rPr>
          <w:spacing w:val="0"/>
          <w:vertAlign w:val="baseline"/>
          <w:i w:val="0"/>
          <w:b w:val="0"/>
          <w:color w:val="auto"/>
          <w:position w:val="0"/>
          <w:sz w:val="21"/>
          <w:szCs w:val="21"/>
          <w:smallCaps w:val="0"/>
          <w:rFonts w:ascii="Calibri" w:eastAsia="Calibri" w:hAnsi="Calibri" w:hint="default"/>
        </w:rPr>
        <w:t>合成立方氧化锆、合成碳硅石等钻石仿制品的特征及其鉴定特征。介绍最新的《钻石分级》国家</w:t>
      </w:r>
      <w:r>
        <w:rPr>
          <w:spacing w:val="0"/>
          <w:vertAlign w:val="baseline"/>
          <w:i w:val="0"/>
          <w:b w:val="0"/>
          <w:color w:val="auto"/>
          <w:position w:val="0"/>
          <w:sz w:val="21"/>
          <w:szCs w:val="21"/>
          <w:smallCaps w:val="0"/>
          <w:rFonts w:ascii="Calibri" w:eastAsia="Calibri" w:hAnsi="Calibri" w:hint="default"/>
        </w:rPr>
        <w:t>标准。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420"/>
        <w:rPr>
          <w:color w:val="auto"/>
          <w:position w:val="0"/>
          <w:sz w:val="21"/>
          <w:szCs w:val="21"/>
          <w:rFonts w:ascii="Calibri" w:eastAsia="Calibri" w:hAnsi="Calibri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exact" w:line="360" w:before="0" w:after="0"/>
        <w:ind w:right="0" w:firstLine="360"/>
        <w:rPr>
          <w:color w:val="auto"/>
          <w:position w:val="0"/>
          <w:sz w:val="24"/>
          <w:szCs w:val="24"/>
          <w:rFonts w:ascii="黑体" w:eastAsia="黑体" w:hAnsi="黑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黑体" w:eastAsia="黑体" w:hAnsi="黑体" w:hint="default"/>
        </w:rPr>
        <w:t>三、选课建议</w:t>
      </w:r>
    </w:p>
    <w:p>
      <w:pPr>
        <w:numPr>
          <w:ilvl w:val="0"/>
          <w:numId w:val="0"/>
        </w:numPr>
        <w:jc w:val="both"/>
        <w:spacing w:lineRule="exact" w:line="360" w:before="0" w:after="0"/>
        <w:ind w:right="0" w:firstLine="420"/>
        <w:rPr>
          <w:color w:val="auto"/>
          <w:position w:val="0"/>
          <w:sz w:val="21"/>
          <w:szCs w:val="21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本课程适于</w:t>
      </w:r>
      <w:r>
        <w:rPr>
          <w:color w:val="auto"/>
          <w:position w:val="0"/>
          <w:sz w:val="21"/>
          <w:szCs w:val="21"/>
          <w:rFonts w:ascii="宋体" w:eastAsia="Calibri" w:hAnsi="Calibri" w:hint="default"/>
        </w:rPr>
        <w:t>工商管理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专业本科学生二年级第二学期学习，是该专业重要的一门</w:t>
      </w:r>
      <w:r>
        <w:rPr>
          <w:color w:val="000000" w:themeColor="text1"/>
          <w:position w:val="0"/>
          <w:sz w:val="21"/>
          <w:szCs w:val="21"/>
          <w:rFonts w:ascii="Calibri" w:eastAsia="Calibri" w:hAnsi="Calibri" w:hint="default"/>
        </w:rPr>
        <w:t>院级必修课，</w:t>
      </w:r>
      <w:r>
        <w:rPr>
          <w:color w:val="000000" w:themeColor="text1"/>
          <w:position w:val="0"/>
          <w:sz w:val="21"/>
          <w:szCs w:val="21"/>
          <w:rFonts w:ascii="Calibri" w:eastAsia="Calibri" w:hAnsi="Calibri" w:hint="default"/>
        </w:rPr>
        <w:t>将为学生的专业知识学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习和实际工作能力打下扎实的基础。</w:t>
      </w:r>
    </w:p>
    <w:p>
      <w:pPr>
        <w:numPr>
          <w:ilvl w:val="0"/>
          <w:numId w:val="0"/>
        </w:numPr>
        <w:jc w:val="both"/>
        <w:spacing w:lineRule="exact" w:line="360" w:before="0" w:after="0"/>
        <w:ind w:right="0" w:firstLine="420"/>
        <w:rPr>
          <w:color w:val="auto"/>
          <w:position w:val="0"/>
          <w:sz w:val="21"/>
          <w:szCs w:val="21"/>
          <w:rFonts w:ascii="Calibri" w:eastAsia="Calibri" w:hAnsi="Calibri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exact" w:line="360" w:before="0" w:after="0"/>
        <w:ind w:right="0" w:firstLine="360"/>
        <w:rPr>
          <w:color w:val="auto"/>
          <w:position w:val="0"/>
          <w:sz w:val="24"/>
          <w:szCs w:val="24"/>
          <w:rFonts w:ascii="黑体" w:eastAsia="黑体" w:hAnsi="黑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黑体" w:eastAsia="黑体" w:hAnsi="黑体" w:hint="default"/>
        </w:rPr>
        <w:t>四、课程与专业毕业要求的关联性</w:t>
      </w:r>
    </w:p>
    <w:p>
      <w:pPr>
        <w:numPr>
          <w:ilvl w:val="0"/>
          <w:numId w:val="0"/>
        </w:numPr>
        <w:jc w:val="left"/>
        <w:spacing w:lineRule="exact" w:line="360" w:before="0" w:after="0"/>
        <w:ind w:right="0" w:firstLine="360"/>
        <w:rPr>
          <w:color w:val="auto"/>
          <w:position w:val="0"/>
          <w:sz w:val="24"/>
          <w:szCs w:val="24"/>
          <w:rFonts w:ascii="黑体" w:eastAsia="黑体" w:hAnsi="黑体" w:hint="default"/>
        </w:rPr>
        <w:autoSpaceDE w:val="1"/>
        <w:autoSpaceDN w:val="1"/>
      </w:pPr>
    </w:p>
    <w:tbl>
      <w:tblID w:val="0"/>
      <w:tblPr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108" w:type="dxa"/>
          <w:top w:w="0" w:type="dxa"/>
          <w:right w:w="108" w:type="dxa"/>
          <w:bottom w:w="0" w:type="dxa"/>
        </w:tblCellMar>
        <w:tblW w:w="8363" w:type="dxa"/>
        <w:tblInd w:w="364" w:type="dxa"/>
        <w:tblLook w:val="0004A0" w:firstRow="1" w:lastRow="0" w:firstColumn="1" w:lastColumn="0" w:noHBand="0" w:noVBand="1"/>
        <w:tblLayout w:type="fixed"/>
      </w:tblPr>
      <w:tblGrid>
        <w:gridCol w:w="992"/>
        <w:gridCol w:w="992"/>
        <w:gridCol w:w="5670"/>
        <w:gridCol w:w="70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400"/>
          <w:hidden w:val="0"/>
        </w:trPr>
        <w:tc>
          <w:tcPr>
            <w:tcW w:type="dxa" w:w="7654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黑体" w:eastAsia="黑体" w:hAnsi="黑体" w:hint="default"/>
              </w:rPr>
              <w:t>专业毕业要求</w:t>
            </w:r>
          </w:p>
        </w:tc>
        <w:tc>
          <w:tcPr>
            <w:tcW w:type="dxa" w:w="709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黑体" w:eastAsia="黑体" w:hAnsi="黑体" w:hint="default"/>
              </w:rPr>
              <w:t>关联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63"/>
          <w:hidden w:val="0"/>
        </w:trPr>
        <w:tc>
          <w:tcPr>
            <w:tcW w:type="dxa" w:w="99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LO11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表达沟</w:t>
            </w: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通</w:t>
            </w:r>
          </w:p>
        </w:tc>
        <w:tc>
          <w:tcPr>
            <w:tcW w:type="dxa" w:w="99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LO111</w:t>
            </w:r>
          </w:p>
        </w:tc>
        <w:tc>
          <w:tcPr>
            <w:tcW w:type="dxa" w:w="567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倾听他人意见、尊重他人观点、分析他人需求。</w:t>
            </w:r>
          </w:p>
        </w:tc>
        <w:tc>
          <w:tcPr>
            <w:tcW w:type="dxa" w:w="70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707"/>
          <w:hidden w:val="0"/>
        </w:trPr>
        <w:tc>
          <w:tcPr>
            <w:tcW w:type="dxa" w:w="99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9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LO112</w:t>
            </w:r>
          </w:p>
        </w:tc>
        <w:tc>
          <w:tcPr>
            <w:tcW w:type="dxa" w:w="567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应用书面或口头形式，阐释自己的观点，有效沟通。</w:t>
            </w:r>
          </w:p>
        </w:tc>
        <w:tc>
          <w:tcPr>
            <w:tcW w:type="dxa" w:w="70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90"/>
          <w:hidden w:val="0"/>
        </w:trPr>
        <w:tc>
          <w:tcPr>
            <w:tcW w:type="dxa" w:w="99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LO21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自主学</w:t>
            </w: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习</w:t>
            </w:r>
          </w:p>
        </w:tc>
        <w:tc>
          <w:tcPr>
            <w:tcW w:type="dxa" w:w="99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LO211</w:t>
            </w:r>
          </w:p>
        </w:tc>
        <w:tc>
          <w:tcPr>
            <w:tcW w:type="dxa" w:w="567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能根据需要确定学习目标，并设计学习计划。</w:t>
            </w:r>
          </w:p>
        </w:tc>
        <w:tc>
          <w:tcPr>
            <w:tcW w:type="dxa" w:w="70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780"/>
          <w:hidden w:val="0"/>
        </w:trPr>
        <w:tc>
          <w:tcPr>
            <w:tcW w:type="dxa" w:w="99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9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LO212</w:t>
            </w:r>
          </w:p>
        </w:tc>
        <w:tc>
          <w:tcPr>
            <w:tcW w:type="dxa" w:w="567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能搜集、获取达到目标所需要的学习资源，实施学习计划、反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思学习计划、持续改进，达到学习目标。</w:t>
            </w:r>
          </w:p>
        </w:tc>
        <w:tc>
          <w:tcPr>
            <w:tcW w:type="dxa" w:w="70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●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70"/>
          <w:hidden w:val="0"/>
        </w:trPr>
        <w:tc>
          <w:tcPr>
            <w:tcW w:type="dxa" w:w="99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LO31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奢侈品</w:t>
            </w: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市场营</w:t>
            </w: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销</w:t>
            </w:r>
          </w:p>
        </w:tc>
        <w:tc>
          <w:tcPr>
            <w:tcW w:type="dxa" w:w="99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LO311</w:t>
            </w:r>
          </w:p>
        </w:tc>
        <w:tc>
          <w:tcPr>
            <w:tcW w:type="dxa" w:w="567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熟悉珠宝和奢侈品行市场分析和品牌定位的方法，制定品牌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营销的战略和策略。</w:t>
            </w:r>
          </w:p>
        </w:tc>
        <w:tc>
          <w:tcPr>
            <w:tcW w:type="dxa" w:w="70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80"/>
          <w:hidden w:val="0"/>
        </w:trPr>
        <w:tc>
          <w:tcPr>
            <w:tcW w:type="dxa" w:w="99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9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LO312</w:t>
            </w:r>
          </w:p>
        </w:tc>
        <w:tc>
          <w:tcPr>
            <w:tcW w:type="dxa" w:w="567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制定完整的营销执行计划，完成营销活动的组织和实施。</w:t>
            </w:r>
          </w:p>
        </w:tc>
        <w:tc>
          <w:tcPr>
            <w:tcW w:type="dxa" w:w="70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67"/>
          <w:hidden w:val="0"/>
        </w:trPr>
        <w:tc>
          <w:tcPr>
            <w:tcW w:type="dxa" w:w="99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9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LO313</w:t>
            </w:r>
          </w:p>
        </w:tc>
        <w:tc>
          <w:tcPr>
            <w:tcW w:type="dxa" w:w="567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熟悉品牌和市场定位方法，并基于市场竞争环境进行市场拓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展。</w:t>
            </w:r>
          </w:p>
        </w:tc>
        <w:tc>
          <w:tcPr>
            <w:tcW w:type="dxa" w:w="70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80"/>
          <w:hidden w:val="0"/>
        </w:trPr>
        <w:tc>
          <w:tcPr>
            <w:tcW w:type="dxa" w:w="99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9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LO314</w:t>
            </w:r>
          </w:p>
        </w:tc>
        <w:tc>
          <w:tcPr>
            <w:tcW w:type="dxa" w:w="567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熟悉主要社交媒体操作，掌握网络营销方法和策略。</w:t>
            </w:r>
          </w:p>
        </w:tc>
        <w:tc>
          <w:tcPr>
            <w:tcW w:type="dxa" w:w="70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75"/>
          <w:hidden w:val="0"/>
        </w:trPr>
        <w:tc>
          <w:tcPr>
            <w:tcW w:type="dxa" w:w="99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LO32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经济分</w:t>
            </w: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析能力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　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LO321</w:t>
            </w:r>
          </w:p>
        </w:tc>
        <w:tc>
          <w:tcPr>
            <w:tcW w:type="dxa" w:w="567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8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能够运用微观经济学的理论分析的部分经济与商业领域的现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象。</w:t>
            </w:r>
          </w:p>
        </w:tc>
        <w:tc>
          <w:tcPr>
            <w:tcW w:type="dxa" w:w="70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8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80"/>
          <w:hidden w:val="0"/>
        </w:trPr>
        <w:tc>
          <w:tcPr>
            <w:tcW w:type="dxa" w:w="99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9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8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LO322</w:t>
            </w:r>
          </w:p>
        </w:tc>
        <w:tc>
          <w:tcPr>
            <w:tcW w:type="dxa" w:w="567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8"/>
              <w:left w:val="single" w:color="000000" w:sz="8"/>
              <w:right w:val="single" w:color="000000" w:sz="8"/>
              <w:top w:val="single" w:color="000000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能有意识观察现实生活和社会中的经济现象，梳理合理的经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济变量及各变量之间相互关系。</w:t>
            </w:r>
          </w:p>
        </w:tc>
        <w:tc>
          <w:tcPr>
            <w:tcW w:type="dxa" w:w="70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8"/>
              <w:left w:val="single" w:color="000000" w:sz="8"/>
              <w:right w:val="single" w:color="000000" w:sz="8"/>
              <w:top w:val="single" w:color="000000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00"/>
          <w:hidden w:val="0"/>
        </w:trPr>
        <w:tc>
          <w:tcPr>
            <w:tcW w:type="dxa" w:w="99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9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8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LO323</w:t>
            </w:r>
          </w:p>
        </w:tc>
        <w:tc>
          <w:tcPr>
            <w:tcW w:type="dxa" w:w="567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8"/>
              <w:right w:val="single" w:color="000000" w:sz="8"/>
              <w:top w:val="single" w:color="000000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能应用经济学理论，定性和定量分析实际经济问题，并预测经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济发展趋势。</w:t>
            </w:r>
          </w:p>
        </w:tc>
        <w:tc>
          <w:tcPr>
            <w:tcW w:type="dxa" w:w="70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8"/>
              <w:right w:val="single" w:color="000000" w:sz="8"/>
              <w:top w:val="single" w:color="000000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86"/>
          <w:hidden w:val="0"/>
        </w:trPr>
        <w:tc>
          <w:tcPr>
            <w:tcW w:type="dxa" w:w="992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LO33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奢侈品</w:t>
            </w: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零售管</w:t>
            </w: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理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LO331</w:t>
            </w:r>
          </w:p>
        </w:tc>
        <w:tc>
          <w:tcPr>
            <w:tcW w:type="dxa" w:w="567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熟悉珠宝和奢侈品店铺管理和客户关系管理。</w:t>
            </w:r>
          </w:p>
        </w:tc>
        <w:tc>
          <w:tcPr>
            <w:tcW w:type="dxa" w:w="70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964"/>
          <w:hidden w:val="0"/>
        </w:trPr>
        <w:tc>
          <w:tcPr>
            <w:tcW w:type="dxa" w:w="992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9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LO332</w:t>
            </w:r>
          </w:p>
        </w:tc>
        <w:tc>
          <w:tcPr>
            <w:tcW w:type="dxa" w:w="567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熟悉消费者行为分析和市场分析的方法，掌握销售的技能，能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够与顾客良好的沟通，达成销售。</w:t>
            </w:r>
          </w:p>
        </w:tc>
        <w:tc>
          <w:tcPr>
            <w:tcW w:type="dxa" w:w="70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90"/>
          <w:hidden w:val="0"/>
        </w:trPr>
        <w:tc>
          <w:tcPr>
            <w:tcW w:type="dxa" w:w="992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LO34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财务管</w:t>
            </w: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理</w:t>
            </w:r>
          </w:p>
        </w:tc>
        <w:tc>
          <w:tcPr>
            <w:tcW w:type="dxa" w:w="99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LO341</w:t>
            </w:r>
          </w:p>
        </w:tc>
        <w:tc>
          <w:tcPr>
            <w:tcW w:type="dxa" w:w="567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清楚资金的筹集、投资、运营、分配</w:t>
            </w:r>
          </w:p>
        </w:tc>
        <w:tc>
          <w:tcPr>
            <w:tcW w:type="dxa" w:w="70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90"/>
          <w:hidden w:val="0"/>
        </w:trPr>
        <w:tc>
          <w:tcPr>
            <w:tcW w:type="dxa" w:w="992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9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LO342</w:t>
            </w:r>
          </w:p>
        </w:tc>
        <w:tc>
          <w:tcPr>
            <w:tcW w:type="dxa" w:w="567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掌握财务计划与决策、财务预算与控制。</w:t>
            </w:r>
          </w:p>
        </w:tc>
        <w:tc>
          <w:tcPr>
            <w:tcW w:type="dxa" w:w="70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30"/>
          <w:hidden w:val="0"/>
        </w:trPr>
        <w:tc>
          <w:tcPr>
            <w:tcW w:type="dxa" w:w="992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9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LO343</w:t>
            </w:r>
          </w:p>
        </w:tc>
        <w:tc>
          <w:tcPr>
            <w:tcW w:type="dxa" w:w="567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具备一定的财务分析与考核等财务管理基本能力。</w:t>
            </w:r>
          </w:p>
        </w:tc>
        <w:tc>
          <w:tcPr>
            <w:tcW w:type="dxa" w:w="70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70"/>
          <w:hidden w:val="0"/>
        </w:trPr>
        <w:tc>
          <w:tcPr>
            <w:tcW w:type="dxa" w:w="99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LO35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项目管</w:t>
            </w: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理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LO351</w:t>
            </w:r>
          </w:p>
        </w:tc>
        <w:tc>
          <w:tcPr>
            <w:tcW w:type="dxa" w:w="567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熟悉项目范围、项目时间、项目成本、项目质量、项目人员管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理和业务策划。</w:t>
            </w:r>
          </w:p>
        </w:tc>
        <w:tc>
          <w:tcPr>
            <w:tcW w:type="dxa" w:w="70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760"/>
          <w:hidden w:val="0"/>
        </w:trPr>
        <w:tc>
          <w:tcPr>
            <w:tcW w:type="dxa" w:w="99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9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LO352</w:t>
            </w:r>
          </w:p>
        </w:tc>
        <w:tc>
          <w:tcPr>
            <w:tcW w:type="dxa" w:w="567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熟悉项目风险、项目采购。</w:t>
            </w:r>
          </w:p>
        </w:tc>
        <w:tc>
          <w:tcPr>
            <w:tcW w:type="dxa" w:w="70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90"/>
          <w:hidden w:val="0"/>
        </w:trPr>
        <w:tc>
          <w:tcPr>
            <w:tcW w:type="dxa" w:w="99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LO36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调查预</w:t>
            </w: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测能力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　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LO361</w:t>
            </w:r>
          </w:p>
        </w:tc>
        <w:tc>
          <w:tcPr>
            <w:tcW w:type="dxa" w:w="567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熟悉调查方案的策划，调查问卷的设计</w:t>
            </w:r>
          </w:p>
        </w:tc>
        <w:tc>
          <w:tcPr>
            <w:tcW w:type="dxa" w:w="70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90"/>
          <w:hidden w:val="0"/>
        </w:trPr>
        <w:tc>
          <w:tcPr>
            <w:tcW w:type="dxa" w:w="99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9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LO362</w:t>
            </w:r>
          </w:p>
        </w:tc>
        <w:tc>
          <w:tcPr>
            <w:tcW w:type="dxa" w:w="567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掌握常用的资料分析与预测方法</w:t>
            </w:r>
          </w:p>
        </w:tc>
        <w:tc>
          <w:tcPr>
            <w:tcW w:type="dxa" w:w="70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3"/>
          <w:hidden w:val="0"/>
        </w:trPr>
        <w:tc>
          <w:tcPr>
            <w:tcW w:type="dxa" w:w="99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9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LO363</w:t>
            </w:r>
          </w:p>
        </w:tc>
        <w:tc>
          <w:tcPr>
            <w:tcW w:type="dxa" w:w="567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熟悉调查报告的写作</w:t>
            </w:r>
          </w:p>
        </w:tc>
        <w:tc>
          <w:tcPr>
            <w:tcW w:type="dxa" w:w="70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70"/>
          <w:hidden w:val="0"/>
        </w:trPr>
        <w:tc>
          <w:tcPr>
            <w:tcW w:type="dxa" w:w="992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LO37珠</w:t>
            </w: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宝能力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LO371</w:t>
            </w:r>
          </w:p>
        </w:tc>
        <w:tc>
          <w:tcPr>
            <w:tcW w:type="dxa" w:w="567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掌握设计和审美的基本理论与基本知识；具备设计能力和审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美素养。</w:t>
            </w:r>
          </w:p>
        </w:tc>
        <w:tc>
          <w:tcPr>
            <w:tcW w:type="dxa" w:w="70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760"/>
          <w:hidden w:val="0"/>
        </w:trPr>
        <w:tc>
          <w:tcPr>
            <w:tcW w:type="dxa" w:w="992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9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LO372</w:t>
            </w:r>
          </w:p>
        </w:tc>
        <w:tc>
          <w:tcPr>
            <w:tcW w:type="dxa" w:w="567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了解珠宝和奢侈品发展历史、基本的珠宝和奢侈品鉴赏和不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同风格设计的特点，具备一定的珠宝首饰搭配能力。</w:t>
            </w:r>
          </w:p>
        </w:tc>
        <w:tc>
          <w:tcPr>
            <w:tcW w:type="dxa" w:w="70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760"/>
          <w:hidden w:val="0"/>
        </w:trPr>
        <w:tc>
          <w:tcPr>
            <w:tcW w:type="dxa" w:w="992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9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LO373</w:t>
            </w:r>
          </w:p>
        </w:tc>
        <w:tc>
          <w:tcPr>
            <w:tcW w:type="dxa" w:w="567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t>掌握珠宝玉石材料的性质和用途，掌握珠宝鉴定的基本理论</w:t>
            </w:r>
            <w:r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t>知识，具备珠宝玉石材料的识别鉴定能力。</w:t>
            </w:r>
          </w:p>
        </w:tc>
        <w:tc>
          <w:tcPr>
            <w:tcW w:type="dxa" w:w="70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●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10"/>
          <w:hidden w:val="0"/>
        </w:trPr>
        <w:tc>
          <w:tcPr>
            <w:tcW w:type="dxa" w:w="99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LO41</w:t>
            </w:r>
          </w:p>
        </w:tc>
        <w:tc>
          <w:tcPr>
            <w:tcW w:type="dxa" w:w="99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LO411</w:t>
            </w:r>
          </w:p>
        </w:tc>
        <w:tc>
          <w:tcPr>
            <w:tcW w:type="dxa" w:w="567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遵纪守法：遵守校纪校规，具备法律意识。</w:t>
            </w:r>
          </w:p>
        </w:tc>
        <w:tc>
          <w:tcPr>
            <w:tcW w:type="dxa" w:w="70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27"/>
          <w:hidden w:val="0"/>
        </w:trPr>
        <w:tc>
          <w:tcPr>
            <w:tcW w:type="dxa" w:w="99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9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LO412</w:t>
            </w:r>
          </w:p>
        </w:tc>
        <w:tc>
          <w:tcPr>
            <w:tcW w:type="dxa" w:w="567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诚实守信：为人诚实，信守承诺，尽职尽责。</w:t>
            </w:r>
          </w:p>
        </w:tc>
        <w:tc>
          <w:tcPr>
            <w:tcW w:type="dxa" w:w="70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850"/>
          <w:hidden w:val="0"/>
        </w:trPr>
        <w:tc>
          <w:tcPr>
            <w:tcW w:type="dxa" w:w="99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9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LO413</w:t>
            </w:r>
          </w:p>
        </w:tc>
        <w:tc>
          <w:tcPr>
            <w:tcW w:type="dxa" w:w="567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爱岗敬业：了解与专业相关的法律法规，充分认识本专业就业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岗位在社会经济中的作用和地位，在学习和社会实践中遵守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职业规范，具备职业道德操守。</w:t>
            </w:r>
          </w:p>
        </w:tc>
        <w:tc>
          <w:tcPr>
            <w:tcW w:type="dxa" w:w="70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10"/>
          <w:hidden w:val="0"/>
        </w:trPr>
        <w:tc>
          <w:tcPr>
            <w:tcW w:type="dxa" w:w="99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9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LO414</w:t>
            </w:r>
          </w:p>
        </w:tc>
        <w:tc>
          <w:tcPr>
            <w:tcW w:type="dxa" w:w="567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身心健康，能承受学习和生活中的压力。</w:t>
            </w:r>
          </w:p>
        </w:tc>
        <w:tc>
          <w:tcPr>
            <w:tcW w:type="dxa" w:w="70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70"/>
          <w:hidden w:val="0"/>
        </w:trPr>
        <w:tc>
          <w:tcPr>
            <w:tcW w:type="dxa" w:w="99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LO51</w:t>
            </w:r>
          </w:p>
        </w:tc>
        <w:tc>
          <w:tcPr>
            <w:tcW w:type="dxa" w:w="99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LO511</w:t>
            </w:r>
          </w:p>
        </w:tc>
        <w:tc>
          <w:tcPr>
            <w:tcW w:type="dxa" w:w="567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在集体活动中能主动担任自己的角色，与其他成员密切合作，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共同完成任务。</w:t>
            </w:r>
          </w:p>
        </w:tc>
        <w:tc>
          <w:tcPr>
            <w:tcW w:type="dxa" w:w="70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●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10"/>
          <w:hidden w:val="0"/>
        </w:trPr>
        <w:tc>
          <w:tcPr>
            <w:tcW w:type="dxa" w:w="99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9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LO512</w:t>
            </w:r>
          </w:p>
        </w:tc>
        <w:tc>
          <w:tcPr>
            <w:tcW w:type="dxa" w:w="567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有质疑精神，能有逻辑的分析与批判。</w:t>
            </w:r>
          </w:p>
        </w:tc>
        <w:tc>
          <w:tcPr>
            <w:tcW w:type="dxa" w:w="70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10"/>
          <w:hidden w:val="0"/>
        </w:trPr>
        <w:tc>
          <w:tcPr>
            <w:tcW w:type="dxa" w:w="99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9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LO513</w:t>
            </w:r>
          </w:p>
        </w:tc>
        <w:tc>
          <w:tcPr>
            <w:tcW w:type="dxa" w:w="567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能用创新的方法或者多种方法解决复杂问题或真实问题。</w:t>
            </w:r>
          </w:p>
        </w:tc>
        <w:tc>
          <w:tcPr>
            <w:tcW w:type="dxa" w:w="70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10"/>
          <w:hidden w:val="0"/>
        </w:trPr>
        <w:tc>
          <w:tcPr>
            <w:tcW w:type="dxa" w:w="99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9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LO514</w:t>
            </w:r>
          </w:p>
        </w:tc>
        <w:tc>
          <w:tcPr>
            <w:tcW w:type="dxa" w:w="567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了解行业前沿知识技术。</w:t>
            </w:r>
          </w:p>
        </w:tc>
        <w:tc>
          <w:tcPr>
            <w:tcW w:type="dxa" w:w="70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10"/>
          <w:hidden w:val="0"/>
        </w:trPr>
        <w:tc>
          <w:tcPr>
            <w:tcW w:type="dxa" w:w="99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LO61</w:t>
            </w:r>
          </w:p>
        </w:tc>
        <w:tc>
          <w:tcPr>
            <w:tcW w:type="dxa" w:w="99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LO611</w:t>
            </w:r>
          </w:p>
        </w:tc>
        <w:tc>
          <w:tcPr>
            <w:tcW w:type="dxa" w:w="567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能够根据需要进行专业文献检索。</w:t>
            </w:r>
          </w:p>
        </w:tc>
        <w:tc>
          <w:tcPr>
            <w:tcW w:type="dxa" w:w="70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70"/>
          <w:hidden w:val="0"/>
        </w:trPr>
        <w:tc>
          <w:tcPr>
            <w:tcW w:type="dxa" w:w="99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9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LO612</w:t>
            </w:r>
          </w:p>
        </w:tc>
        <w:tc>
          <w:tcPr>
            <w:tcW w:type="dxa" w:w="567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能够使用适合的工具来搜集信息，并对信息加以分析、鉴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别、判断与整合。</w:t>
            </w:r>
          </w:p>
        </w:tc>
        <w:tc>
          <w:tcPr>
            <w:tcW w:type="dxa" w:w="70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10"/>
          <w:hidden w:val="0"/>
        </w:trPr>
        <w:tc>
          <w:tcPr>
            <w:tcW w:type="dxa" w:w="99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9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LO613</w:t>
            </w:r>
          </w:p>
        </w:tc>
        <w:tc>
          <w:tcPr>
            <w:tcW w:type="dxa" w:w="567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熟练使用计算机，掌握常用办公软件和图像、图形处理软件</w:t>
            </w:r>
          </w:p>
        </w:tc>
        <w:tc>
          <w:tcPr>
            <w:tcW w:type="dxa" w:w="70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70"/>
          <w:hidden w:val="0"/>
        </w:trPr>
        <w:tc>
          <w:tcPr>
            <w:tcW w:type="dxa" w:w="992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LO71</w:t>
            </w:r>
          </w:p>
        </w:tc>
        <w:tc>
          <w:tcPr>
            <w:tcW w:type="dxa" w:w="99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LO711</w:t>
            </w:r>
          </w:p>
        </w:tc>
        <w:tc>
          <w:tcPr>
            <w:tcW w:type="dxa" w:w="567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爱党爱国：了解祖国的优秀传统文化和革命历史，构建爱党爱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国的理想信念。</w:t>
            </w:r>
          </w:p>
        </w:tc>
        <w:tc>
          <w:tcPr>
            <w:tcW w:type="dxa" w:w="70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20"/>
          <w:hidden w:val="0"/>
        </w:trPr>
        <w:tc>
          <w:tcPr>
            <w:tcW w:type="dxa" w:w="992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9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LO712</w:t>
            </w:r>
          </w:p>
        </w:tc>
        <w:tc>
          <w:tcPr>
            <w:tcW w:type="dxa" w:w="567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助人为乐：富于爱心，懂得感恩，具备助人为乐的品质。</w:t>
            </w:r>
          </w:p>
        </w:tc>
        <w:tc>
          <w:tcPr>
            <w:tcW w:type="dxa" w:w="70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20"/>
          <w:hidden w:val="0"/>
        </w:trPr>
        <w:tc>
          <w:tcPr>
            <w:tcW w:type="dxa" w:w="992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9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LO713</w:t>
            </w:r>
          </w:p>
        </w:tc>
        <w:tc>
          <w:tcPr>
            <w:tcW w:type="dxa" w:w="567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奉献社会：具有服务企业、服务社会的意愿和行为能力。</w:t>
            </w:r>
          </w:p>
        </w:tc>
        <w:tc>
          <w:tcPr>
            <w:tcW w:type="dxa" w:w="70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70"/>
          <w:hidden w:val="0"/>
        </w:trPr>
        <w:tc>
          <w:tcPr>
            <w:tcW w:type="dxa" w:w="992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9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LO714</w:t>
            </w:r>
          </w:p>
        </w:tc>
        <w:tc>
          <w:tcPr>
            <w:tcW w:type="dxa" w:w="567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爱护环境：具有爱护环境的意识和与自然和谐相处的环保理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念。</w:t>
            </w:r>
          </w:p>
        </w:tc>
        <w:tc>
          <w:tcPr>
            <w:tcW w:type="dxa" w:w="70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10"/>
          <w:hidden w:val="0"/>
        </w:trPr>
        <w:tc>
          <w:tcPr>
            <w:tcW w:type="dxa" w:w="992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LO81</w:t>
            </w:r>
          </w:p>
        </w:tc>
        <w:tc>
          <w:tcPr>
            <w:tcW w:type="dxa" w:w="99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LO811</w:t>
            </w:r>
          </w:p>
        </w:tc>
        <w:tc>
          <w:tcPr>
            <w:tcW w:type="dxa" w:w="567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具备外语能力，能够阅读外文专业图书和资料。</w:t>
            </w:r>
          </w:p>
        </w:tc>
        <w:tc>
          <w:tcPr>
            <w:tcW w:type="dxa" w:w="70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10"/>
          <w:hidden w:val="0"/>
        </w:trPr>
        <w:tc>
          <w:tcPr>
            <w:tcW w:type="dxa" w:w="992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9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LO812</w:t>
            </w:r>
          </w:p>
        </w:tc>
        <w:tc>
          <w:tcPr>
            <w:tcW w:type="dxa" w:w="567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对专业范围中跨语言跨文化的内容具有理解能力。</w:t>
            </w:r>
          </w:p>
        </w:tc>
        <w:tc>
          <w:tcPr>
            <w:tcW w:type="dxa" w:w="70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10"/>
          <w:hidden w:val="0"/>
        </w:trPr>
        <w:tc>
          <w:tcPr>
            <w:tcW w:type="dxa" w:w="992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9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LO813</w:t>
            </w:r>
          </w:p>
        </w:tc>
        <w:tc>
          <w:tcPr>
            <w:tcW w:type="dxa" w:w="567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有国际竞争与合作意识。</w:t>
            </w:r>
          </w:p>
        </w:tc>
        <w:tc>
          <w:tcPr>
            <w:tcW w:type="dxa" w:w="70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left"/>
        <w:spacing w:lineRule="exact" w:line="360" w:before="0" w:after="0"/>
        <w:ind w:right="0" w:firstLine="360"/>
        <w:rPr>
          <w:color w:val="auto"/>
          <w:position w:val="0"/>
          <w:sz w:val="24"/>
          <w:szCs w:val="24"/>
          <w:rFonts w:ascii="黑体" w:eastAsia="黑体" w:hAnsi="黑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exact" w:line="360" w:before="0" w:after="0"/>
        <w:ind w:right="0" w:firstLine="360"/>
        <w:rPr>
          <w:color w:val="auto"/>
          <w:position w:val="0"/>
          <w:sz w:val="24"/>
          <w:szCs w:val="24"/>
          <w:rFonts w:ascii="黑体" w:eastAsia="黑体" w:hAnsi="黑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黑体" w:eastAsia="黑体" w:hAnsi="黑体" w:hint="default"/>
        </w:rPr>
        <w:t>五、课程目标/课程预期学习成果</w:t>
      </w:r>
    </w:p>
    <w:tbl>
      <w:tblID w:val="0"/>
      <w:tblPr>
        <w:tblpPr w:leftFromText="180" w:rightFromText="180" w:vertAnchor="text" w:horzAnchor="page" w:tblpX="1987" w:tblpY="152"/>
        <w:tblOverlap w:val="nev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330" w:type="dxa"/>
        <w:tblLook w:val="0004A0" w:firstRow="1" w:lastRow="0" w:firstColumn="1" w:lastColumn="0" w:noHBand="0" w:noVBand="1"/>
        <w:tblLayout w:type="fixed"/>
      </w:tblPr>
      <w:tblGrid>
        <w:gridCol w:w="675"/>
        <w:gridCol w:w="1175"/>
        <w:gridCol w:w="2470"/>
        <w:gridCol w:w="2592"/>
        <w:gridCol w:w="1418"/>
      </w:tblGrid>
      <w:tr>
        <w:trPr>
          <w:hidden w:val="0"/>
        </w:trPr>
        <w:tc>
          <w:tcPr>
            <w:tcW w:type="dxa" w:w="675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t>序号</w:t>
            </w:r>
          </w:p>
        </w:tc>
        <w:tc>
          <w:tcPr>
            <w:tcW w:type="dxa" w:w="1175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t>课程预期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t>学习成果</w:t>
            </w:r>
          </w:p>
        </w:tc>
        <w:tc>
          <w:tcPr>
            <w:tcW w:type="dxa" w:w="247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t>课程目标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t>（细化的预期学习成</w:t>
            </w:r>
            <w:r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t>果）</w:t>
            </w:r>
          </w:p>
        </w:tc>
        <w:tc>
          <w:tcPr>
            <w:tcW w:type="dxa" w:w="2592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t>教与学方式</w:t>
            </w:r>
          </w:p>
        </w:tc>
        <w:tc>
          <w:tcPr>
            <w:tcW w:type="dxa" w:w="141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t>评价方式</w:t>
            </w:r>
          </w:p>
        </w:tc>
      </w:tr>
      <w:tr>
        <w:trPr>
          <w:hidden w:val="0"/>
        </w:trPr>
        <w:tc>
          <w:tcPr>
            <w:tcW w:type="dxa" w:w="675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t>1</w:t>
            </w:r>
          </w:p>
        </w:tc>
        <w:tc>
          <w:tcPr>
            <w:tcW w:type="dxa" w:w="1175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t>LO212</w:t>
            </w:r>
          </w:p>
        </w:tc>
        <w:tc>
          <w:tcPr>
            <w:tcW w:type="dxa" w:w="247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t>主动自觉地通过搜集、</w:t>
            </w:r>
            <w:r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t>分析信息、讨论、实</w:t>
            </w:r>
            <w:r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t>践、质疑、创造等方法</w:t>
            </w:r>
            <w:r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t>来实现学习目标</w:t>
            </w:r>
          </w:p>
        </w:tc>
        <w:tc>
          <w:tcPr>
            <w:tcW w:type="dxa" w:w="2592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t>能搜集、获取达到目标所</w:t>
            </w:r>
            <w:r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t>需要的学习资源，实施学</w:t>
            </w:r>
            <w:r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t>习计划、反思学习计划、</w:t>
            </w:r>
            <w:r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t>持续改进，达到学习目标</w:t>
            </w:r>
          </w:p>
        </w:tc>
        <w:tc>
          <w:tcPr>
            <w:tcW w:type="dxa" w:w="141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t>理论闭卷测</w:t>
            </w:r>
            <w:r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t>试</w:t>
            </w:r>
          </w:p>
        </w:tc>
      </w:tr>
      <w:tr>
        <w:trPr>
          <w:hidden w:val="0"/>
        </w:trPr>
        <w:tc>
          <w:tcPr>
            <w:tcW w:type="dxa" w:w="675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t>2</w:t>
            </w:r>
          </w:p>
        </w:tc>
        <w:tc>
          <w:tcPr>
            <w:tcW w:type="dxa" w:w="1175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t>LO373</w:t>
            </w:r>
          </w:p>
        </w:tc>
        <w:tc>
          <w:tcPr>
            <w:tcW w:type="dxa" w:w="247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t>系统学习宝玉石材料相</w:t>
            </w:r>
            <w:r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t>关理论知识和鉴别能力</w:t>
            </w:r>
          </w:p>
        </w:tc>
        <w:tc>
          <w:tcPr>
            <w:tcW w:type="dxa" w:w="2592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t>掌握珠宝玉石材料的性质</w:t>
            </w:r>
            <w:r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t>和用途，掌握珠宝鉴定的</w:t>
            </w:r>
            <w:r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t>基本理论知识，具备珠宝</w:t>
            </w:r>
            <w:r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t>玉石材料的识别鉴定能力</w:t>
            </w:r>
          </w:p>
        </w:tc>
        <w:tc>
          <w:tcPr>
            <w:tcW w:type="dxa" w:w="141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t>实践技能考</w:t>
            </w:r>
            <w:r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t>试</w:t>
            </w:r>
          </w:p>
        </w:tc>
      </w:tr>
      <w:tr>
        <w:trPr>
          <w:hidden w:val="0"/>
        </w:trPr>
        <w:tc>
          <w:tcPr>
            <w:tcW w:type="dxa" w:w="675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t>3</w:t>
            </w:r>
          </w:p>
        </w:tc>
        <w:tc>
          <w:tcPr>
            <w:tcW w:type="dxa" w:w="1175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t>LO511</w:t>
            </w:r>
          </w:p>
        </w:tc>
        <w:tc>
          <w:tcPr>
            <w:tcW w:type="dxa" w:w="247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t>同工作学习伙伴保持良</w:t>
            </w:r>
            <w:r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t>好的关系，团结互助、</w:t>
            </w:r>
            <w:r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t>齐心协力，做团队或集</w:t>
            </w:r>
            <w:r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t>体中的积极成员</w:t>
            </w:r>
          </w:p>
        </w:tc>
        <w:tc>
          <w:tcPr>
            <w:tcW w:type="dxa" w:w="2592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在集体活动中能主动担任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自己的角色，与其他成员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密切合作，共同完成任务</w:t>
            </w:r>
          </w:p>
        </w:tc>
        <w:tc>
          <w:tcPr>
            <w:tcW w:type="dxa" w:w="141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t>实验指导书</w:t>
            </w:r>
          </w:p>
        </w:tc>
      </w:tr>
    </w:tbl>
    <w:p>
      <w:pPr>
        <w:numPr>
          <w:ilvl w:val="0"/>
          <w:numId w:val="0"/>
        </w:numPr>
        <w:jc w:val="both"/>
        <w:spacing w:lineRule="exact" w:line="360" w:before="0" w:after="0"/>
        <w:ind w:left="420" w:right="0" w:firstLine="0"/>
        <w:rPr>
          <w:color w:val="auto"/>
          <w:position w:val="0"/>
          <w:sz w:val="21"/>
          <w:szCs w:val="21"/>
          <w:rFonts w:ascii="Calibri" w:eastAsia="Calibri" w:hAnsi="Calibri" w:hint="default"/>
        </w:rPr>
        <w:snapToGrid w:val="off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exact" w:line="360" w:before="0" w:after="0"/>
        <w:ind w:right="0" w:firstLine="360"/>
        <w:rPr>
          <w:color w:val="auto"/>
          <w:position w:val="0"/>
          <w:sz w:val="24"/>
          <w:szCs w:val="24"/>
          <w:rFonts w:ascii="黑体" w:eastAsia="黑体" w:hAnsi="黑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黑体" w:eastAsia="黑体" w:hAnsi="黑体" w:hint="default"/>
        </w:rPr>
        <w:t>六、课程内容</w:t>
      </w:r>
    </w:p>
    <w:p>
      <w:pPr>
        <w:numPr>
          <w:ilvl w:val="0"/>
          <w:numId w:val="0"/>
        </w:numPr>
        <w:jc w:val="both"/>
        <w:spacing w:lineRule="exact" w:line="360" w:before="0" w:after="0"/>
        <w:ind w:left="424" w:right="0" w:firstLine="0"/>
        <w:rPr>
          <w:color w:val="auto"/>
          <w:position w:val="0"/>
          <w:sz w:val="21"/>
          <w:szCs w:val="21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总课时：48学时。其中理论讲授16学时，实验课32课时。</w:t>
      </w:r>
    </w:p>
    <w:p>
      <w:pPr>
        <w:numPr>
          <w:ilvl w:val="0"/>
          <w:numId w:val="0"/>
        </w:numPr>
        <w:jc w:val="both"/>
        <w:spacing w:lineRule="exact" w:line="360" w:before="0" w:after="0"/>
        <w:ind w:left="424" w:right="0" w:firstLine="0"/>
        <w:rPr>
          <w:b w:val="1"/>
          <w:color w:val="auto"/>
          <w:position w:val="0"/>
          <w:sz w:val="21"/>
          <w:szCs w:val="21"/>
          <w:rFonts w:ascii="Calibri" w:eastAsia="Calibri" w:hAnsi="Calibri" w:hint="default"/>
        </w:rPr>
        <w:autoSpaceDE w:val="1"/>
        <w:autoSpaceDN w:val="1"/>
      </w:pPr>
      <w:r>
        <w:rPr>
          <w:b w:val="1"/>
          <w:color w:val="auto"/>
          <w:position w:val="0"/>
          <w:sz w:val="21"/>
          <w:szCs w:val="21"/>
          <w:rFonts w:ascii="Calibri" w:eastAsia="Calibri" w:hAnsi="Calibri" w:hint="default"/>
        </w:rPr>
        <w:t xml:space="preserve">第一单元  钻石的基本性质          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              </w:t>
      </w:r>
      <w:r>
        <w:rPr>
          <w:b w:val="1"/>
          <w:color w:val="auto"/>
          <w:position w:val="0"/>
          <w:sz w:val="18"/>
          <w:szCs w:val="18"/>
          <w:rFonts w:ascii="Calibri" w:eastAsia="Calibri" w:hAnsi="Calibri" w:hint="default"/>
        </w:rPr>
        <w:t xml:space="preserve">  （理论1课时，实践0课时）</w:t>
      </w:r>
    </w:p>
    <w:p>
      <w:pPr>
        <w:numPr>
          <w:ilvl w:val="0"/>
          <w:numId w:val="0"/>
        </w:numPr>
        <w:jc w:val="both"/>
        <w:spacing w:lineRule="exact" w:line="360" w:before="0" w:after="0"/>
        <w:ind w:left="424" w:right="0" w:firstLine="0"/>
        <w:rPr>
          <w:b w:val="1"/>
          <w:color w:val="auto"/>
          <w:position w:val="0"/>
          <w:sz w:val="18"/>
          <w:szCs w:val="18"/>
          <w:rFonts w:ascii="Calibri" w:eastAsia="Calibri" w:hAnsi="Calibri" w:hint="default"/>
        </w:rPr>
        <w:autoSpaceDE w:val="1"/>
        <w:autoSpaceDN w:val="1"/>
      </w:pPr>
      <w:r>
        <w:rPr>
          <w:b w:val="1"/>
          <w:color w:val="auto"/>
          <w:position w:val="0"/>
          <w:sz w:val="21"/>
          <w:szCs w:val="21"/>
          <w:rFonts w:ascii="Calibri" w:eastAsia="Calibri" w:hAnsi="Calibri" w:hint="default"/>
        </w:rPr>
        <w:t xml:space="preserve">第二单元  钻石的4C分级概述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                       </w:t>
      </w:r>
      <w:r>
        <w:rPr>
          <w:b w:val="1"/>
          <w:color w:val="auto"/>
          <w:position w:val="0"/>
          <w:sz w:val="18"/>
          <w:szCs w:val="18"/>
          <w:rFonts w:ascii="Calibri" w:eastAsia="Calibri" w:hAnsi="Calibri" w:hint="default"/>
        </w:rPr>
        <w:t>（理论1课时，实践0课时）</w:t>
      </w:r>
    </w:p>
    <w:p>
      <w:pPr>
        <w:numPr>
          <w:ilvl w:val="0"/>
          <w:numId w:val="0"/>
        </w:numPr>
        <w:jc w:val="both"/>
        <w:spacing w:lineRule="exact" w:line="360" w:before="0" w:after="0"/>
        <w:ind w:left="424" w:right="0" w:firstLine="0"/>
        <w:rPr>
          <w:color w:val="auto"/>
          <w:position w:val="0"/>
          <w:sz w:val="21"/>
          <w:szCs w:val="21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1、钻石分级常用仪器正确的使用方法——运用</w:t>
      </w:r>
    </w:p>
    <w:p>
      <w:pPr>
        <w:numPr>
          <w:ilvl w:val="0"/>
          <w:numId w:val="0"/>
        </w:numPr>
        <w:jc w:val="both"/>
        <w:spacing w:lineRule="exact" w:line="360" w:before="0" w:after="0"/>
        <w:ind w:left="424" w:right="0" w:firstLine="0"/>
        <w:rPr>
          <w:color w:val="auto"/>
          <w:position w:val="0"/>
          <w:sz w:val="21"/>
          <w:szCs w:val="21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2、世界主要钻石分级体系——知道</w:t>
      </w:r>
    </w:p>
    <w:p>
      <w:pPr>
        <w:numPr>
          <w:ilvl w:val="0"/>
          <w:numId w:val="0"/>
        </w:numPr>
        <w:jc w:val="both"/>
        <w:spacing w:lineRule="exact" w:line="360" w:before="0" w:after="0"/>
        <w:ind w:left="424" w:right="0" w:firstLine="0"/>
        <w:rPr>
          <w:b w:val="1"/>
          <w:color w:val="auto"/>
          <w:position w:val="0"/>
          <w:sz w:val="18"/>
          <w:szCs w:val="18"/>
          <w:rFonts w:ascii="Calibri" w:eastAsia="Calibri" w:hAnsi="Calibri" w:hint="default"/>
        </w:rPr>
        <w:autoSpaceDE w:val="1"/>
        <w:autoSpaceDN w:val="1"/>
      </w:pPr>
      <w:r>
        <w:rPr>
          <w:b w:val="1"/>
          <w:color w:val="auto"/>
          <w:position w:val="0"/>
          <w:sz w:val="21"/>
          <w:szCs w:val="21"/>
          <w:rFonts w:ascii="Calibri" w:eastAsia="Calibri" w:hAnsi="Calibri" w:hint="default"/>
        </w:rPr>
        <w:t xml:space="preserve">第三单元  钻石的净度分级    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                      </w:t>
      </w:r>
      <w:r>
        <w:rPr>
          <w:b w:val="1"/>
          <w:color w:val="auto"/>
          <w:position w:val="0"/>
          <w:sz w:val="18"/>
          <w:szCs w:val="18"/>
          <w:rFonts w:ascii="Calibri" w:eastAsia="Calibri" w:hAnsi="Calibri" w:hint="default"/>
        </w:rPr>
        <w:t>（理论4课时，实践8课时）</w:t>
      </w:r>
    </w:p>
    <w:p>
      <w:pPr>
        <w:numPr>
          <w:ilvl w:val="0"/>
          <w:numId w:val="0"/>
        </w:numPr>
        <w:jc w:val="both"/>
        <w:spacing w:lineRule="exact" w:line="360" w:before="0" w:after="0"/>
        <w:ind w:left="424" w:right="0" w:firstLine="0"/>
        <w:rPr>
          <w:color w:val="auto"/>
          <w:position w:val="0"/>
          <w:sz w:val="21"/>
          <w:szCs w:val="21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1、钻石的净度特征图及在净度素描图上表示净度特征的方法——运用</w:t>
      </w:r>
    </w:p>
    <w:p>
      <w:pPr>
        <w:numPr>
          <w:ilvl w:val="0"/>
          <w:numId w:val="0"/>
        </w:numPr>
        <w:jc w:val="both"/>
        <w:spacing w:lineRule="exact" w:line="360" w:before="0" w:after="0"/>
        <w:ind w:left="424" w:right="0" w:firstLine="0"/>
        <w:rPr>
          <w:color w:val="auto"/>
          <w:position w:val="0"/>
          <w:sz w:val="21"/>
          <w:szCs w:val="21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2、钻石的5个大净度级别和10个小净度级别的含义——理解</w:t>
      </w:r>
    </w:p>
    <w:p>
      <w:pPr>
        <w:numPr>
          <w:ilvl w:val="0"/>
          <w:numId w:val="0"/>
        </w:numPr>
        <w:jc w:val="both"/>
        <w:spacing w:lineRule="exact" w:line="360" w:before="0" w:after="0"/>
        <w:ind w:left="424" w:right="0" w:firstLine="0"/>
        <w:rPr>
          <w:color w:val="auto"/>
          <w:position w:val="0"/>
          <w:sz w:val="21"/>
          <w:szCs w:val="21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3、钻石净度分级的正确操作步骤——分析</w:t>
      </w:r>
    </w:p>
    <w:p>
      <w:pPr>
        <w:numPr>
          <w:ilvl w:val="0"/>
          <w:numId w:val="0"/>
        </w:numPr>
        <w:jc w:val="both"/>
        <w:spacing w:lineRule="exact" w:line="360" w:before="0" w:after="0"/>
        <w:ind w:left="424" w:right="0" w:firstLine="0"/>
        <w:rPr>
          <w:color w:val="auto"/>
          <w:position w:val="0"/>
          <w:sz w:val="21"/>
          <w:szCs w:val="21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4、按净度级别的划分标准正确判定钻石净度等级——综合</w:t>
      </w:r>
    </w:p>
    <w:p>
      <w:pPr>
        <w:numPr>
          <w:ilvl w:val="0"/>
          <w:numId w:val="0"/>
        </w:numPr>
        <w:jc w:val="both"/>
        <w:spacing w:lineRule="exact" w:line="360" w:before="0" w:after="0"/>
        <w:ind w:left="424" w:right="0" w:firstLine="0"/>
        <w:rPr>
          <w:b w:val="1"/>
          <w:color w:val="auto"/>
          <w:position w:val="0"/>
          <w:sz w:val="18"/>
          <w:szCs w:val="18"/>
          <w:rFonts w:ascii="Calibri" w:eastAsia="Calibri" w:hAnsi="Calibri" w:hint="default"/>
        </w:rPr>
        <w:autoSpaceDE w:val="1"/>
        <w:autoSpaceDN w:val="1"/>
      </w:pPr>
      <w:r>
        <w:rPr>
          <w:b w:val="1"/>
          <w:color w:val="auto"/>
          <w:position w:val="0"/>
          <w:sz w:val="21"/>
          <w:szCs w:val="21"/>
          <w:rFonts w:ascii="Calibri" w:eastAsia="Calibri" w:hAnsi="Calibri" w:hint="default"/>
        </w:rPr>
        <w:t xml:space="preserve">第四单元  钻石的颜色分级                           </w:t>
      </w:r>
      <w:r>
        <w:rPr>
          <w:b w:val="1"/>
          <w:color w:val="auto"/>
          <w:position w:val="0"/>
          <w:sz w:val="18"/>
          <w:szCs w:val="18"/>
          <w:rFonts w:ascii="Calibri" w:eastAsia="Calibri" w:hAnsi="Calibri" w:hint="default"/>
        </w:rPr>
        <w:t>（理论1课时，实践4课时）</w:t>
      </w:r>
    </w:p>
    <w:p>
      <w:pPr>
        <w:numPr>
          <w:ilvl w:val="0"/>
          <w:numId w:val="0"/>
        </w:numPr>
        <w:jc w:val="both"/>
        <w:spacing w:lineRule="exact" w:line="360" w:before="0" w:after="0"/>
        <w:ind w:left="424" w:right="0" w:firstLine="0"/>
        <w:rPr>
          <w:color w:val="auto"/>
          <w:position w:val="0"/>
          <w:sz w:val="21"/>
          <w:szCs w:val="21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1、钻石颜色分级的比色石条件、光源条件、环境条件和技术条件——理解</w:t>
      </w:r>
    </w:p>
    <w:p>
      <w:pPr>
        <w:numPr>
          <w:ilvl w:val="0"/>
          <w:numId w:val="0"/>
        </w:numPr>
        <w:jc w:val="both"/>
        <w:spacing w:lineRule="exact" w:line="360" w:before="0" w:after="0"/>
        <w:ind w:left="424" w:right="0" w:firstLine="0"/>
        <w:rPr>
          <w:color w:val="auto"/>
          <w:position w:val="0"/>
          <w:sz w:val="21"/>
          <w:szCs w:val="21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2、钻石颜色分级操作方法——运用</w:t>
      </w:r>
    </w:p>
    <w:p>
      <w:pPr>
        <w:numPr>
          <w:ilvl w:val="0"/>
          <w:numId w:val="0"/>
        </w:numPr>
        <w:jc w:val="both"/>
        <w:spacing w:lineRule="exact" w:line="360" w:before="0" w:after="0"/>
        <w:ind w:left="424" w:right="0" w:firstLine="0"/>
        <w:rPr>
          <w:color w:val="auto"/>
          <w:position w:val="0"/>
          <w:sz w:val="21"/>
          <w:szCs w:val="21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2、彩色钻石的分级方法——知道</w:t>
      </w:r>
    </w:p>
    <w:p>
      <w:pPr>
        <w:numPr>
          <w:ilvl w:val="0"/>
          <w:numId w:val="0"/>
        </w:numPr>
        <w:jc w:val="both"/>
        <w:spacing w:lineRule="exact" w:line="360" w:before="0" w:after="0"/>
        <w:ind w:left="424" w:right="0" w:firstLine="0"/>
        <w:rPr>
          <w:b w:val="1"/>
          <w:color w:val="auto"/>
          <w:position w:val="0"/>
          <w:sz w:val="18"/>
          <w:szCs w:val="18"/>
          <w:rFonts w:ascii="Calibri" w:eastAsia="Calibri" w:hAnsi="Calibri" w:hint="default"/>
        </w:rPr>
        <w:autoSpaceDE w:val="1"/>
        <w:autoSpaceDN w:val="1"/>
      </w:pPr>
      <w:r>
        <w:rPr>
          <w:b w:val="1"/>
          <w:color w:val="auto"/>
          <w:position w:val="0"/>
          <w:sz w:val="21"/>
          <w:szCs w:val="21"/>
          <w:rFonts w:ascii="Calibri" w:eastAsia="Calibri" w:hAnsi="Calibri" w:hint="default"/>
        </w:rPr>
        <w:t xml:space="preserve">第五单元  钻石的切工分级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                           </w:t>
      </w:r>
      <w:r>
        <w:rPr>
          <w:b w:val="1"/>
          <w:color w:val="auto"/>
          <w:position w:val="0"/>
          <w:sz w:val="21"/>
          <w:szCs w:val="21"/>
          <w:rFonts w:ascii="Calibri" w:eastAsia="Calibri" w:hAnsi="Calibri" w:hint="default"/>
        </w:rPr>
        <w:t xml:space="preserve"> </w:t>
      </w:r>
      <w:r>
        <w:rPr>
          <w:b w:val="1"/>
          <w:color w:val="auto"/>
          <w:position w:val="0"/>
          <w:sz w:val="18"/>
          <w:szCs w:val="18"/>
          <w:rFonts w:ascii="Calibri" w:eastAsia="Calibri" w:hAnsi="Calibri" w:hint="default"/>
        </w:rPr>
        <w:t>（理论6课时，实践10课时）</w:t>
      </w:r>
    </w:p>
    <w:p>
      <w:pPr>
        <w:numPr>
          <w:ilvl w:val="0"/>
          <w:numId w:val="0"/>
        </w:numPr>
        <w:jc w:val="both"/>
        <w:spacing w:lineRule="exact" w:line="360" w:before="0" w:after="0"/>
        <w:ind w:left="424" w:right="0" w:firstLine="0"/>
        <w:rPr>
          <w:color w:val="auto"/>
          <w:position w:val="0"/>
          <w:sz w:val="21"/>
          <w:szCs w:val="21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1、台宽比评价的比例法和弧度法——运用</w:t>
      </w:r>
    </w:p>
    <w:p>
      <w:pPr>
        <w:numPr>
          <w:ilvl w:val="0"/>
          <w:numId w:val="0"/>
        </w:numPr>
        <w:jc w:val="both"/>
        <w:spacing w:lineRule="exact" w:line="360" w:before="0" w:after="0"/>
        <w:ind w:left="424" w:right="0" w:firstLine="0"/>
        <w:rPr>
          <w:color w:val="auto"/>
          <w:position w:val="0"/>
          <w:sz w:val="21"/>
          <w:szCs w:val="21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2、冠角评价的正视法和侧视法——运用</w:t>
      </w:r>
    </w:p>
    <w:p>
      <w:pPr>
        <w:numPr>
          <w:ilvl w:val="0"/>
          <w:numId w:val="0"/>
        </w:numPr>
        <w:jc w:val="both"/>
        <w:spacing w:lineRule="exact" w:line="360" w:before="0" w:after="0"/>
        <w:ind w:left="424" w:right="0" w:firstLine="0"/>
        <w:rPr>
          <w:color w:val="auto"/>
          <w:position w:val="0"/>
          <w:sz w:val="21"/>
          <w:szCs w:val="21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3、亭深比评价的台影比法和侧视法——运用</w:t>
      </w:r>
    </w:p>
    <w:p>
      <w:pPr>
        <w:numPr>
          <w:ilvl w:val="0"/>
          <w:numId w:val="0"/>
        </w:numPr>
        <w:jc w:val="both"/>
        <w:spacing w:lineRule="exact" w:line="360" w:before="0" w:after="0"/>
        <w:ind w:left="424" w:right="0" w:firstLine="0"/>
        <w:rPr>
          <w:color w:val="auto"/>
          <w:position w:val="0"/>
          <w:sz w:val="21"/>
          <w:szCs w:val="21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4、腰厚比评价的方法和底小面评价的方法——运用</w:t>
      </w:r>
    </w:p>
    <w:p>
      <w:pPr>
        <w:numPr>
          <w:ilvl w:val="0"/>
          <w:numId w:val="0"/>
        </w:numPr>
        <w:jc w:val="both"/>
        <w:spacing w:lineRule="exact" w:line="360" w:before="0" w:after="0"/>
        <w:ind w:left="424" w:right="0" w:firstLine="0"/>
        <w:rPr>
          <w:color w:val="auto"/>
          <w:position w:val="0"/>
          <w:sz w:val="21"/>
          <w:szCs w:val="21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5、钻石对称性的评价内容及方法——运用</w:t>
      </w:r>
    </w:p>
    <w:p>
      <w:pPr>
        <w:numPr>
          <w:ilvl w:val="0"/>
          <w:numId w:val="0"/>
        </w:numPr>
        <w:jc w:val="both"/>
        <w:spacing w:lineRule="exact" w:line="360" w:before="0" w:after="0"/>
        <w:ind w:left="424" w:right="0" w:firstLine="0"/>
        <w:rPr>
          <w:b w:val="1"/>
          <w:color w:val="auto"/>
          <w:position w:val="0"/>
          <w:sz w:val="18"/>
          <w:szCs w:val="18"/>
          <w:rFonts w:ascii="Calibri" w:eastAsia="Calibri" w:hAnsi="Calibri" w:hint="default"/>
        </w:rPr>
        <w:autoSpaceDE w:val="1"/>
        <w:autoSpaceDN w:val="1"/>
      </w:pPr>
      <w:r>
        <w:rPr>
          <w:b w:val="1"/>
          <w:color w:val="auto"/>
          <w:position w:val="0"/>
          <w:sz w:val="21"/>
          <w:szCs w:val="21"/>
          <w:rFonts w:ascii="Calibri" w:eastAsia="Calibri" w:hAnsi="Calibri" w:hint="default"/>
        </w:rPr>
        <w:t xml:space="preserve">第六单元  钻石的重量分级 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                           </w:t>
      </w:r>
      <w:r>
        <w:rPr>
          <w:b w:val="1"/>
          <w:color w:val="auto"/>
          <w:position w:val="0"/>
          <w:sz w:val="18"/>
          <w:szCs w:val="18"/>
          <w:rFonts w:ascii="Calibri" w:eastAsia="Calibri" w:hAnsi="Calibri" w:hint="default"/>
        </w:rPr>
        <w:t>（理论1课时，实践0课时）</w:t>
      </w:r>
    </w:p>
    <w:p>
      <w:pPr>
        <w:numPr>
          <w:ilvl w:val="0"/>
          <w:numId w:val="0"/>
        </w:numPr>
        <w:jc w:val="both"/>
        <w:spacing w:lineRule="exact" w:line="360" w:before="0" w:after="0"/>
        <w:ind w:left="424" w:right="0" w:firstLine="0"/>
        <w:rPr>
          <w:color w:val="auto"/>
          <w:position w:val="0"/>
          <w:sz w:val="21"/>
          <w:szCs w:val="21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1、圆明亮型钻石重量的估算方法——分析</w:t>
      </w:r>
    </w:p>
    <w:p>
      <w:pPr>
        <w:numPr>
          <w:ilvl w:val="0"/>
          <w:numId w:val="0"/>
        </w:numPr>
        <w:jc w:val="both"/>
        <w:spacing w:lineRule="exact" w:line="360" w:before="0" w:after="0"/>
        <w:ind w:left="424" w:right="0" w:firstLine="0"/>
        <w:rPr>
          <w:color w:val="auto"/>
          <w:position w:val="0"/>
          <w:sz w:val="21"/>
          <w:szCs w:val="21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2、异型钻石重量的估算方法——了解</w:t>
      </w:r>
    </w:p>
    <w:p>
      <w:pPr>
        <w:numPr>
          <w:ilvl w:val="0"/>
          <w:numId w:val="0"/>
        </w:numPr>
        <w:jc w:val="both"/>
        <w:spacing w:lineRule="exact" w:line="360" w:before="0" w:after="0"/>
        <w:ind w:left="424" w:right="0" w:firstLine="0"/>
        <w:rPr>
          <w:b w:val="1"/>
          <w:color w:val="auto"/>
          <w:position w:val="0"/>
          <w:sz w:val="18"/>
          <w:szCs w:val="18"/>
          <w:rFonts w:ascii="Calibri" w:eastAsia="Calibri" w:hAnsi="Calibri" w:hint="default"/>
        </w:rPr>
        <w:autoSpaceDE w:val="1"/>
        <w:autoSpaceDN w:val="1"/>
      </w:pPr>
      <w:r>
        <w:rPr>
          <w:b w:val="1"/>
          <w:color w:val="auto"/>
          <w:position w:val="0"/>
          <w:sz w:val="21"/>
          <w:szCs w:val="21"/>
          <w:rFonts w:ascii="Calibri" w:eastAsia="Calibri" w:hAnsi="Calibri" w:hint="default"/>
        </w:rPr>
        <w:t xml:space="preserve">第七单元  钻石4C分级综合实践——综合                </w:t>
      </w:r>
      <w:r>
        <w:rPr>
          <w:b w:val="1"/>
          <w:color w:val="auto"/>
          <w:position w:val="0"/>
          <w:sz w:val="18"/>
          <w:szCs w:val="18"/>
          <w:rFonts w:ascii="Calibri" w:eastAsia="Calibri" w:hAnsi="Calibri" w:hint="default"/>
        </w:rPr>
        <w:t>（理论0课时，实践6课时）</w:t>
      </w:r>
    </w:p>
    <w:p>
      <w:pPr>
        <w:numPr>
          <w:ilvl w:val="0"/>
          <w:numId w:val="0"/>
        </w:numPr>
        <w:jc w:val="both"/>
        <w:spacing w:lineRule="exact" w:line="360" w:before="0" w:after="0"/>
        <w:ind w:left="424" w:right="0" w:firstLine="0"/>
        <w:rPr>
          <w:color w:val="auto"/>
          <w:position w:val="0"/>
          <w:sz w:val="21"/>
          <w:szCs w:val="21"/>
          <w:rFonts w:ascii="Calibri" w:eastAsia="Calibri" w:hAnsi="Calibri" w:hint="default"/>
        </w:rPr>
        <w:autoSpaceDE w:val="1"/>
        <w:autoSpaceDN w:val="1"/>
      </w:pPr>
      <w:r>
        <w:rPr>
          <w:b w:val="1"/>
          <w:color w:val="auto"/>
          <w:position w:val="0"/>
          <w:sz w:val="21"/>
          <w:szCs w:val="21"/>
          <w:rFonts w:ascii="Calibri" w:eastAsia="Calibri" w:hAnsi="Calibri" w:hint="default"/>
        </w:rPr>
        <w:t xml:space="preserve">第八单元  钻石的合成、仿制品及优化处理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              </w:t>
      </w:r>
      <w:r>
        <w:rPr>
          <w:b w:val="1"/>
          <w:color w:val="auto"/>
          <w:position w:val="0"/>
          <w:sz w:val="18"/>
          <w:szCs w:val="18"/>
          <w:rFonts w:ascii="Calibri" w:eastAsia="Calibri" w:hAnsi="Calibri" w:hint="default"/>
        </w:rPr>
        <w:t>（理论2课时，实践4课时）</w:t>
      </w:r>
    </w:p>
    <w:p>
      <w:pPr>
        <w:numPr>
          <w:ilvl w:val="0"/>
          <w:numId w:val="0"/>
        </w:numPr>
        <w:jc w:val="both"/>
        <w:spacing w:lineRule="exact" w:line="360" w:before="0" w:after="0"/>
        <w:ind w:left="1579" w:right="0" w:hanging="1155"/>
        <w:rPr>
          <w:color w:val="auto"/>
          <w:position w:val="0"/>
          <w:sz w:val="21"/>
          <w:szCs w:val="21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1、利用10倍放大镜等鉴别合成立方氧化锆、合成碳硅石等钻石仿制品——运用</w:t>
      </w:r>
    </w:p>
    <w:p>
      <w:pPr>
        <w:numPr>
          <w:ilvl w:val="0"/>
          <w:numId w:val="0"/>
        </w:numPr>
        <w:jc w:val="both"/>
        <w:spacing w:lineRule="exact" w:line="360" w:before="0" w:after="0"/>
        <w:ind w:left="424" w:right="0" w:firstLine="0"/>
        <w:rPr>
          <w:color w:val="auto"/>
          <w:position w:val="0"/>
          <w:sz w:val="21"/>
          <w:szCs w:val="21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2、利用10倍放大镜及常规鉴定仪器鉴定激光打孔和玻璃充填钻石——运用</w:t>
      </w:r>
    </w:p>
    <w:p>
      <w:pPr>
        <w:numPr>
          <w:ilvl w:val="0"/>
          <w:numId w:val="0"/>
        </w:numPr>
        <w:jc w:val="both"/>
        <w:spacing w:lineRule="exact" w:line="360" w:before="0" w:after="0"/>
        <w:ind w:left="424" w:right="0" w:firstLine="0"/>
        <w:rPr>
          <w:color w:val="auto"/>
          <w:position w:val="0"/>
          <w:sz w:val="21"/>
          <w:szCs w:val="21"/>
          <w:rFonts w:ascii="Calibri" w:eastAsia="Calibri" w:hAnsi="Calibri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exact" w:line="360" w:before="0" w:after="0"/>
        <w:ind w:right="0" w:firstLine="360"/>
        <w:rPr>
          <w:color w:val="auto"/>
          <w:position w:val="0"/>
          <w:sz w:val="24"/>
          <w:szCs w:val="24"/>
          <w:rFonts w:ascii="黑体" w:eastAsia="黑体" w:hAnsi="黑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黑体" w:eastAsia="黑体" w:hAnsi="黑体" w:hint="default"/>
        </w:rPr>
        <w:t>七、实践环节各阶段名称及基本要求</w:t>
      </w:r>
    </w:p>
    <w:p>
      <w:pPr>
        <w:numPr>
          <w:ilvl w:val="0"/>
          <w:numId w:val="0"/>
        </w:numPr>
        <w:jc w:val="both"/>
        <w:spacing w:lineRule="exact" w:line="360" w:before="0" w:after="0"/>
        <w:ind w:right="26" w:firstLine="400"/>
        <w:rPr>
          <w:color w:val="auto"/>
          <w:position w:val="0"/>
          <w:sz w:val="20"/>
          <w:szCs w:val="20"/>
          <w:rFonts w:ascii="宋体" w:eastAsia="宋体" w:hAnsi="宋体" w:hint="default"/>
        </w:rPr>
        <w:snapToGrid w:val="off"/>
        <w:autoSpaceDE w:val="1"/>
        <w:autoSpaceDN w:val="1"/>
      </w:pP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216" w:type="dxa"/>
        <w:tblInd w:w="114" w:type="dxa"/>
        <w:tblLook w:val="0004A0" w:firstRow="1" w:lastRow="0" w:firstColumn="1" w:lastColumn="0" w:noHBand="0" w:noVBand="1"/>
        <w:tblLayout w:type="fixed"/>
      </w:tblPr>
      <w:tblGrid>
        <w:gridCol w:w="692"/>
        <w:gridCol w:w="1481"/>
        <w:gridCol w:w="3779"/>
        <w:gridCol w:w="1102"/>
        <w:gridCol w:w="1162"/>
      </w:tblGrid>
      <w:tr>
        <w:trPr>
          <w:trHeight w:hRule="atleast" w:val="527"/>
          <w:hidden w:val="0"/>
        </w:trPr>
        <w:tc>
          <w:tcPr>
            <w:tcW w:type="dxa" w:w="69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t>序号</w:t>
            </w:r>
          </w:p>
        </w:tc>
        <w:tc>
          <w:tcPr>
            <w:tcW w:type="dxa" w:w="148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t>实验名称</w:t>
            </w:r>
          </w:p>
        </w:tc>
        <w:tc>
          <w:tcPr>
            <w:tcW w:type="dxa" w:w="377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t>主要内容</w:t>
            </w:r>
          </w:p>
        </w:tc>
        <w:tc>
          <w:tcPr>
            <w:tcW w:type="dxa" w:w="110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t>实验时数</w:t>
            </w:r>
          </w:p>
        </w:tc>
        <w:tc>
          <w:tcPr>
            <w:tcW w:type="dxa" w:w="1162"/>
            <w:vAlign w:val="center"/>
            <w:tcBorders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t>实验类型</w:t>
            </w:r>
          </w:p>
        </w:tc>
      </w:tr>
      <w:tr>
        <w:trPr>
          <w:trHeight w:hRule="exact" w:val="1579"/>
          <w:hidden w:val="0"/>
        </w:trPr>
        <w:tc>
          <w:tcPr>
            <w:tcW w:type="dxa" w:w="69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12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1</w:t>
            </w:r>
          </w:p>
        </w:tc>
        <w:tc>
          <w:tcPr>
            <w:tcW w:type="dxa" w:w="148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钻石净度分级</w:t>
            </w:r>
          </w:p>
        </w:tc>
        <w:tc>
          <w:tcPr>
            <w:tcW w:type="dxa" w:w="377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left="-13" w:right="-94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1．认识钻石的净度特征</w:t>
            </w:r>
          </w:p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left="-13" w:right="-94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2．描述钻石净度特征图和净度特征符号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left="-13" w:right="-94" w:firstLine="0"/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3．掌握钻石分级的步骤，依据钻石净</w:t>
            </w: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度特征，判定钻石的净度级别</w:t>
            </w:r>
          </w:p>
        </w:tc>
        <w:tc>
          <w:tcPr>
            <w:tcW w:type="dxa" w:w="110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-288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8学时</w:t>
            </w:r>
          </w:p>
        </w:tc>
        <w:tc>
          <w:tcPr>
            <w:tcW w:type="dxa" w:w="1162"/>
            <w:vAlign w:val="center"/>
            <w:tcBorders>
              <w:left w:val="single" w:color="auto" w:sz="4"/>
              <w:right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-288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综合型</w:t>
            </w:r>
          </w:p>
        </w:tc>
      </w:tr>
      <w:tr>
        <w:trPr>
          <w:trHeight w:hRule="exact" w:val="849"/>
          <w:hidden w:val="0"/>
        </w:trPr>
        <w:tc>
          <w:tcPr>
            <w:tcW w:type="dxa" w:w="69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12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2</w:t>
            </w:r>
          </w:p>
        </w:tc>
        <w:tc>
          <w:tcPr>
            <w:tcW w:type="dxa" w:w="148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钻石颜色分级</w:t>
            </w:r>
          </w:p>
        </w:tc>
        <w:tc>
          <w:tcPr>
            <w:tcW w:type="dxa" w:w="377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71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1.钻石颜色分级的操作步骤</w:t>
            </w:r>
          </w:p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71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2.正确判定钻石颜色级别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71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2．镶嵌钻石的颜色分级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71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3．钻石的荧光分级</w:t>
            </w:r>
          </w:p>
        </w:tc>
        <w:tc>
          <w:tcPr>
            <w:tcW w:type="dxa" w:w="110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-288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4学时</w:t>
            </w:r>
          </w:p>
        </w:tc>
        <w:tc>
          <w:tcPr>
            <w:tcW w:type="dxa" w:w="1162"/>
            <w:vAlign w:val="center"/>
            <w:tcBorders>
              <w:left w:val="single" w:color="auto" w:sz="4"/>
              <w:right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-288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综合型</w:t>
            </w:r>
          </w:p>
        </w:tc>
      </w:tr>
      <w:tr>
        <w:trPr>
          <w:trHeight w:hRule="exact" w:val="1130"/>
          <w:hidden w:val="0"/>
        </w:trPr>
        <w:tc>
          <w:tcPr>
            <w:tcW w:type="dxa" w:w="69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12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3</w:t>
            </w:r>
          </w:p>
        </w:tc>
        <w:tc>
          <w:tcPr>
            <w:tcW w:type="dxa" w:w="148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-108" w:firstLine="0"/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钻石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-108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切工分级</w:t>
            </w:r>
          </w:p>
        </w:tc>
        <w:tc>
          <w:tcPr>
            <w:tcW w:type="dxa" w:w="377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left="0" w:right="0" w:hanging="1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1．圆明亮型钻石的切工比例评价</w:t>
            </w:r>
          </w:p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-1908" w:firstLine="0"/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2．圆明亮型钻石的修饰度评价</w:t>
            </w:r>
          </w:p>
        </w:tc>
        <w:tc>
          <w:tcPr>
            <w:tcW w:type="dxa" w:w="110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-288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10学时</w:t>
            </w:r>
          </w:p>
        </w:tc>
        <w:tc>
          <w:tcPr>
            <w:tcW w:type="dxa" w:w="1162"/>
            <w:vAlign w:val="center"/>
            <w:tcBorders>
              <w:left w:val="single" w:color="auto" w:sz="4"/>
              <w:right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-288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综合型</w:t>
            </w:r>
          </w:p>
        </w:tc>
      </w:tr>
      <w:tr>
        <w:trPr>
          <w:trHeight w:hRule="exact" w:val="977"/>
          <w:hidden w:val="0"/>
        </w:trPr>
        <w:tc>
          <w:tcPr>
            <w:tcW w:type="dxa" w:w="69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12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4</w:t>
            </w:r>
          </w:p>
        </w:tc>
        <w:tc>
          <w:tcPr>
            <w:tcW w:type="dxa" w:w="148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-108" w:firstLine="0"/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钻石4C分级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-108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综合实践</w:t>
            </w:r>
          </w:p>
        </w:tc>
        <w:tc>
          <w:tcPr>
            <w:tcW w:type="dxa" w:w="377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firstLine="0"/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钻石的净度、颜色、切工、重量综合</w:t>
            </w: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分级</w:t>
            </w:r>
          </w:p>
        </w:tc>
        <w:tc>
          <w:tcPr>
            <w:tcW w:type="dxa" w:w="110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-288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6学时</w:t>
            </w:r>
          </w:p>
        </w:tc>
        <w:tc>
          <w:tcPr>
            <w:tcW w:type="dxa" w:w="1162"/>
            <w:vAlign w:val="center"/>
            <w:tcBorders>
              <w:left w:val="single" w:color="auto" w:sz="4"/>
              <w:right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-288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综合型</w:t>
            </w:r>
          </w:p>
        </w:tc>
      </w:tr>
      <w:tr>
        <w:trPr>
          <w:trHeight w:hRule="exact" w:val="1558"/>
          <w:hidden w:val="0"/>
        </w:trPr>
        <w:tc>
          <w:tcPr>
            <w:tcW w:type="dxa" w:w="69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12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5</w:t>
            </w:r>
          </w:p>
        </w:tc>
        <w:tc>
          <w:tcPr>
            <w:tcW w:type="dxa" w:w="148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钻石的优化处</w:t>
            </w: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理及仿钻鉴别</w:t>
            </w:r>
          </w:p>
        </w:tc>
        <w:tc>
          <w:tcPr>
            <w:tcW w:type="dxa" w:w="377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1.激光打孔、玻璃充填钻石的鉴别</w:t>
            </w:r>
          </w:p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2.合成立方氧化锆、合成碳硅石等常见</w:t>
            </w: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仿钻的鉴别</w:t>
            </w:r>
          </w:p>
        </w:tc>
        <w:tc>
          <w:tcPr>
            <w:tcW w:type="dxa" w:w="110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-288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4学时</w:t>
            </w:r>
          </w:p>
        </w:tc>
        <w:tc>
          <w:tcPr>
            <w:tcW w:type="dxa" w:w="1162"/>
            <w:vAlign w:val="center"/>
            <w:tcBorders>
              <w:bottom w:val="single" w:color="auto" w:sz="4"/>
              <w:left w:val="single" w:color="auto" w:sz="4"/>
              <w:right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-288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综合型</w:t>
            </w:r>
          </w:p>
        </w:tc>
      </w:tr>
      <w:tr>
        <w:trPr>
          <w:trHeight w:hRule="exact" w:val="1004"/>
          <w:hidden w:val="0"/>
        </w:trPr>
        <w:tc>
          <w:tcPr>
            <w:tcW w:type="dxa" w:w="69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12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48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合计</w:t>
            </w:r>
          </w:p>
        </w:tc>
        <w:tc>
          <w:tcPr>
            <w:tcW w:type="dxa" w:w="377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10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-288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32学时</w:t>
            </w:r>
          </w:p>
        </w:tc>
        <w:tc>
          <w:tcPr>
            <w:tcW w:type="dxa" w:w="1162"/>
            <w:vAlign w:val="center"/>
            <w:tcBorders>
              <w:bottom w:val="single" w:color="auto" w:sz="4"/>
              <w:left w:val="single" w:color="auto" w:sz="4"/>
              <w:right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-288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both"/>
        <w:spacing w:lineRule="exact" w:line="360" w:before="0" w:after="0"/>
        <w:ind w:right="2520" w:firstLine="482"/>
        <w:rPr>
          <w:b w:val="1"/>
          <w:color w:val="auto"/>
          <w:position w:val="0"/>
          <w:sz w:val="24"/>
          <w:szCs w:val="24"/>
          <w:rFonts w:ascii="黑体" w:eastAsia="黑体" w:hAnsi="黑体" w:hint="default"/>
        </w:rPr>
        <w:snapToGrid w:val="off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exact" w:line="360" w:before="0" w:after="0"/>
        <w:ind w:right="0" w:firstLine="360"/>
        <w:rPr>
          <w:color w:val="auto"/>
          <w:position w:val="0"/>
          <w:sz w:val="24"/>
          <w:szCs w:val="24"/>
          <w:rFonts w:ascii="黑体" w:eastAsia="黑体" w:hAnsi="黑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黑体" w:eastAsia="黑体" w:hAnsi="黑体" w:hint="default"/>
        </w:rPr>
        <w:t>八、评价方式与成绩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222" w:type="dxa"/>
        <w:tblInd w:w="108" w:type="dxa"/>
        <w:tblLook w:val="0004A0" w:firstRow="1" w:lastRow="0" w:firstColumn="1" w:lastColumn="0" w:noHBand="0" w:noVBand="1"/>
        <w:tblLayout w:type="fixed"/>
      </w:tblPr>
      <w:tblGrid>
        <w:gridCol w:w="2170"/>
        <w:gridCol w:w="4261"/>
        <w:gridCol w:w="1791"/>
      </w:tblGrid>
      <w:tr>
        <w:trPr>
          <w:trHeight w:hRule="atleast" w:val="584"/>
          <w:hidden w:val="0"/>
        </w:trPr>
        <w:tc>
          <w:tcPr>
            <w:tcW w:type="dxa" w:w="217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总评构成（</w:t>
            </w: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X</w:t>
            </w: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）</w:t>
            </w:r>
          </w:p>
        </w:tc>
        <w:tc>
          <w:tcPr>
            <w:tcW w:type="dxa" w:w="4261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评价方式</w:t>
            </w:r>
          </w:p>
        </w:tc>
        <w:tc>
          <w:tcPr>
            <w:tcW w:type="dxa" w:w="1791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占比</w:t>
            </w:r>
          </w:p>
        </w:tc>
      </w:tr>
      <w:tr>
        <w:trPr>
          <w:trHeight w:hRule="atleast" w:val="551"/>
          <w:hidden w:val="0"/>
        </w:trPr>
        <w:tc>
          <w:tcPr>
            <w:tcW w:type="dxa" w:w="217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X1</w:t>
            </w:r>
          </w:p>
        </w:tc>
        <w:tc>
          <w:tcPr>
            <w:tcW w:type="dxa" w:w="4261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实践测试试卷</w:t>
            </w:r>
          </w:p>
        </w:tc>
        <w:tc>
          <w:tcPr>
            <w:tcW w:type="dxa" w:w="1791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40</w:t>
            </w: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%</w:t>
            </w:r>
          </w:p>
        </w:tc>
      </w:tr>
      <w:tr>
        <w:trPr>
          <w:trHeight w:hRule="atleast" w:val="573"/>
          <w:hidden w:val="0"/>
        </w:trPr>
        <w:tc>
          <w:tcPr>
            <w:tcW w:type="dxa" w:w="217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X2</w:t>
            </w:r>
          </w:p>
        </w:tc>
        <w:tc>
          <w:tcPr>
            <w:tcW w:type="dxa" w:w="4261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理论</w:t>
            </w: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测试</w:t>
            </w: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试卷</w:t>
            </w:r>
          </w:p>
        </w:tc>
        <w:tc>
          <w:tcPr>
            <w:tcW w:type="dxa" w:w="1791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30%</w:t>
            </w:r>
          </w:p>
        </w:tc>
      </w:tr>
      <w:tr>
        <w:trPr>
          <w:trHeight w:hRule="atleast" w:val="554"/>
          <w:hidden w:val="0"/>
        </w:trPr>
        <w:tc>
          <w:tcPr>
            <w:tcW w:type="dxa" w:w="217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X3</w:t>
            </w:r>
          </w:p>
        </w:tc>
        <w:tc>
          <w:tcPr>
            <w:tcW w:type="dxa" w:w="4261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实验指导书</w:t>
            </w:r>
          </w:p>
        </w:tc>
        <w:tc>
          <w:tcPr>
            <w:tcW w:type="dxa" w:w="1791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Calibri" w:hAnsi="Calibri" w:hint="default"/>
              </w:rPr>
              <w:t>30%</w:t>
            </w:r>
          </w:p>
        </w:tc>
      </w:tr>
    </w:tbl>
    <w:p>
      <w:pPr>
        <w:numPr>
          <w:ilvl w:val="0"/>
          <w:numId w:val="0"/>
        </w:numPr>
        <w:jc w:val="both"/>
        <w:spacing w:lineRule="exact" w:line="360" w:before="0" w:after="0"/>
        <w:ind w:right="2520" w:firstLine="402"/>
        <w:rPr>
          <w:b w:val="1"/>
          <w:color w:val="auto"/>
          <w:position w:val="0"/>
          <w:sz w:val="20"/>
          <w:szCs w:val="20"/>
          <w:rFonts w:ascii="Calibri" w:eastAsia="Calibri" w:hAnsi="Calibri" w:hint="default"/>
        </w:rPr>
        <w:snapToGrid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360" w:before="0" w:after="0"/>
        <w:ind w:right="0" w:firstLine="400"/>
        <w:rPr>
          <w:color w:val="auto"/>
          <w:position w:val="0"/>
          <w:sz w:val="20"/>
          <w:szCs w:val="20"/>
          <w:highlight w:val="yellow"/>
          <w:rFonts w:ascii="宋体" w:eastAsia="宋体" w:hAnsi="宋体" w:hint="default"/>
        </w:rPr>
        <w:snapToGrid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360" w:before="0" w:after="0"/>
        <w:ind w:right="560" w:firstLine="0"/>
        <w:rPr>
          <w:color w:val="auto"/>
          <w:position w:val="0"/>
          <w:sz w:val="28"/>
          <w:szCs w:val="28"/>
          <w:rFonts w:ascii="Calibri" w:eastAsia="Calibri" w:hAnsi="Calibri" w:hint="default"/>
        </w:rPr>
        <w:snapToGrid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Calibri" w:hAnsi="Calibri" w:hint="default"/>
        </w:rPr>
        <w:t xml:space="preserve">撰写人： 陈征    系主任审核签名：杨天畅    时间：2020.2.21                     </w:t>
      </w:r>
    </w:p>
    <w:p>
      <w:pPr>
        <w:numPr>
          <w:ilvl w:val="0"/>
          <w:numId w:val="0"/>
        </w:numPr>
        <w:jc w:val="both"/>
        <w:spacing w:lineRule="exact" w:line="360" w:before="0" w:after="0"/>
        <w:ind w:right="0" w:firstLine="0"/>
        <w:rPr>
          <w:color w:val="auto"/>
          <w:position w:val="0"/>
          <w:sz w:val="21"/>
          <w:szCs w:val="21"/>
          <w:rFonts w:ascii="Calibri" w:eastAsia="Calibri" w:hAnsi="Calibri" w:hint="default"/>
        </w:rPr>
        <w:autoSpaceDE w:val="1"/>
        <w:autoSpaceDN w:val="1"/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left="1588" w:bottom="1134" w:right="1588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ans-serif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imSun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2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Calibri" w:eastAsia="宋体" w:hAnsi="宋体" w:hint="default"/>
      </w:rPr>
      <w:snapToGrid w:val="off"/>
      <w:autoSpaceDE w:val="1"/>
      <w:autoSpaceDN w:val="1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2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Calibri" w:eastAsia="宋体" w:hAnsi="宋体" w:hint="default"/>
      </w:rPr>
      <w:snapToGrid w:val="off"/>
      <w:autoSpaceDE w:val="1"/>
      <w:autoSpaceDN w:val="1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2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Calibri" w:eastAsia="宋体" w:hAnsi="宋体" w:hint="default"/>
      </w:rPr>
      <w:snapToGrid w:val="off"/>
      <w:autoSpaceDE w:val="1"/>
      <w:autoSpaceDN w:val="1"/>
    </w:pP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3"/>
      <w:numPr>
        <w:ilvl w:val="0"/>
        <w:numId w:val="0"/>
      </w:numPr>
      <w:jc w:val="center"/>
      <w:spacing w:lineRule="auto" w:line="240" w:before="0" w:after="0"/>
      <w:pBdr>
        <w:bottom w:val="single" w:sz="6" w:space="0" w:color="000000"/>
      </w:pBdr>
      <w:ind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Calibri" w:eastAsia="宋体" w:hAnsi="宋体" w:hint="default"/>
      </w:rPr>
      <w:snapToGrid w:val="off"/>
      <w:autoSpaceDE w:val="1"/>
      <w:autoSpaceDN w:val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3"/>
      <w:numPr>
        <w:ilvl w:val="0"/>
        <w:numId w:val="0"/>
      </w:numPr>
      <w:jc w:val="center"/>
      <w:spacing w:lineRule="auto" w:line="240" w:before="0" w:after="0"/>
      <w:pBdr>
        <w:bottom w:val="nil" w:sz="0" w:space="0" w:color="000000"/>
      </w:pBdr>
      <w:ind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Calibri" w:eastAsia="宋体" w:hAnsi="宋体" w:hint="default"/>
      </w:rPr>
      <w:snapToGrid w:val="off"/>
      <w:autoSpaceDE w:val="1"/>
      <w:autoSpaceDN w:val="1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3"/>
      <w:numPr>
        <w:ilvl w:val="0"/>
        <w:numId w:val="0"/>
      </w:numPr>
      <w:jc w:val="center"/>
      <w:spacing w:lineRule="auto" w:line="240" w:before="0" w:after="0"/>
      <w:pBdr>
        <w:bottom w:val="single" w:sz="6" w:space="0" w:color="000000"/>
      </w:pBdr>
      <w:ind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Calibri" w:eastAsia="宋体" w:hAnsi="宋体" w:hint="default"/>
      </w:rPr>
      <w:snapToGrid w:val="off"/>
      <w:autoSpaceDE w:val="1"/>
      <w:autoSpaceDN w:val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1F000014"/>
    <w:lvl w:ilvl="0">
      <w:lvlJc w:val="left"/>
      <w:numFmt w:val="decimal"/>
      <w:start w:val="1"/>
      <w:suff w:val="tab"/>
      <w:pPr>
        <w:ind w:left="360" w:hanging="360"/>
        <w:jc w:val="both"/>
      </w:pPr>
      <w:rPr>
        <w:shd w:val="clear"/>
        <w:sz w:val="20"/>
        <w:szCs w:val="20"/>
        <w:w w:val="100"/>
      </w:rPr>
      <w:lvlText w:val="%1."/>
    </w:lvl>
    <w:lvl w:ilvl="1">
      <w:lvlJc w:val="left"/>
      <w:numFmt w:val="lowerLetter"/>
      <w:start w:val="1"/>
      <w:suff w:val="tab"/>
      <w:pPr>
        <w:ind w:left="8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lvlText w:val="%9.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>
    <w:balanceSingleByteDoubleByteWidth/>
    <w:adjustLineHeightInTable/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  <w:rPr>
      <w:rFonts w:ascii="Calibri" w:eastAsia="Calibri" w:hAnsi="Calibri"/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basedOn w:val="PO1"/>
    <w:uiPriority w:val="26"/>
    <w:unhideWhenUsed/>
    <w:pPr>
      <w:autoSpaceDE w:val="1"/>
      <w:autoSpaceDN w:val="1"/>
      <w:ind w:firstLine="420"/>
      <w:widowControl/>
      <w:wordWrap/>
    </w:p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Table Grid"/>
    <w:basedOn w:val="PO3"/>
    <w:qFormat/>
    <w:uiPriority w:val="38"/>
    <w:pPr>
      <w:autoSpaceDE w:val="1"/>
      <w:autoSpaceDN w:val="1"/>
      <w:jc w:val="both"/>
      <w:wordWrap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styleId="PO152" w:type="paragraph">
    <w:name w:val="footer"/>
    <w:basedOn w:val="PO1"/>
    <w:link w:val="PO155"/>
    <w:qFormat/>
    <w:uiPriority w:val="152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rFonts w:ascii="Calibri" w:eastAsia="宋体" w:hAnsi="Calibri"/>
      <w:shd w:val="clear"/>
      <w:sz w:val="18"/>
      <w:szCs w:val="18"/>
      <w:w w:val="100"/>
    </w:rPr>
  </w:style>
  <w:style w:styleId="PO153" w:type="paragraph">
    <w:name w:val="header"/>
    <w:basedOn w:val="PO1"/>
    <w:link w:val="PO154"/>
    <w:qFormat/>
    <w:uiPriority w:val="153"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rFonts w:ascii="Calibri" w:eastAsia="宋体" w:hAnsi="Calibri"/>
      <w:shd w:val="clear"/>
      <w:sz w:val="18"/>
      <w:szCs w:val="18"/>
      <w:w w:val="100"/>
    </w:rPr>
  </w:style>
  <w:style w:customStyle="1" w:styleId="PO154" w:type="character">
    <w:name w:val="页眉 Char"/>
    <w:basedOn w:val="PO2"/>
    <w:link w:val="PO153"/>
    <w:qFormat/>
    <w:uiPriority w:val="154"/>
    <w:semiHidden/>
    <w:rPr>
      <w:shd w:val="clear"/>
      <w:sz w:val="18"/>
      <w:szCs w:val="18"/>
      <w:w w:val="100"/>
    </w:rPr>
  </w:style>
  <w:style w:customStyle="1" w:styleId="PO155" w:type="character">
    <w:name w:val="页脚 Char"/>
    <w:basedOn w:val="PO2"/>
    <w:link w:val="PO152"/>
    <w:qFormat/>
    <w:uiPriority w:val="155"/>
    <w:semiHidden/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header" Target="header3.xml"></Relationship><Relationship Id="rId7" Type="http://schemas.openxmlformats.org/officeDocument/2006/relationships/footer" Target="footer5.xml"></Relationship><Relationship Id="rId8" Type="http://schemas.openxmlformats.org/officeDocument/2006/relationships/footer" Target="footer6.xml"></Relationship><Relationship Id="rId9" Type="http://schemas.openxmlformats.org/officeDocument/2006/relationships/header" Target="header4.xml"></Relationship><Relationship Id="rId10" Type="http://schemas.openxmlformats.org/officeDocument/2006/relationships/footer" Target="footer7.xml"></Relationship><Relationship Id="rId11" Type="http://schemas.openxmlformats.org/officeDocument/2006/relationships/numbering" Target="numbering.xml"></Relationship><Relationship Id="rId12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3979</Characters>
  <CharactersWithSpaces>0</CharactersWithSpaces>
  <Company>http://www.deepbbs.org</Company>
  <DocSecurity>0</DocSecurity>
  <HyperlinksChanged>false</HyperlinksChanged>
  <Lines>28</Lines>
  <LinksUpToDate>false</LinksUpToDate>
  <Pages>5</Pages>
  <Paragraphs>7</Paragraphs>
  <Words>594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juvg</dc:creator>
  <cp:lastModifiedBy/>
  <dcterms:modified xsi:type="dcterms:W3CDTF">2020-02-22T07:24:00Z</dcterms:modified>
</cp:coreProperties>
</file>