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BE7" w:rsidRPr="00AD448D" w:rsidRDefault="00AD448D" w:rsidP="00AD448D">
      <w:pPr>
        <w:spacing w:line="400" w:lineRule="exact"/>
        <w:jc w:val="left"/>
        <w:rPr>
          <w:rFonts w:ascii="宋体" w:hAnsi="宋体"/>
          <w:bCs/>
          <w:sz w:val="24"/>
        </w:rPr>
      </w:pPr>
      <w:r>
        <w:rPr>
          <w:rFonts w:ascii="宋体" w:hAnsi="宋体" w:hint="eastAsia"/>
          <w:bCs/>
          <w:sz w:val="24"/>
        </w:rPr>
        <w:t>SJQU-QR-JW-033(A0)</w:t>
      </w:r>
    </w:p>
    <w:p w:rsidR="00883BE7" w:rsidRDefault="00500300">
      <w:pPr>
        <w:spacing w:line="288" w:lineRule="auto"/>
        <w:jc w:val="center"/>
        <w:rPr>
          <w:b/>
          <w:sz w:val="28"/>
          <w:szCs w:val="30"/>
        </w:rPr>
      </w:pPr>
      <w:r>
        <w:rPr>
          <w:rFonts w:hint="eastAsia"/>
          <w:b/>
          <w:sz w:val="28"/>
          <w:szCs w:val="30"/>
        </w:rPr>
        <w:t>【首饰专题设计】</w:t>
      </w:r>
    </w:p>
    <w:p w:rsidR="00883BE7" w:rsidRDefault="00500300">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Jewelry Project Design</w:t>
      </w:r>
      <w:r>
        <w:rPr>
          <w:rFonts w:hint="eastAsia"/>
          <w:b/>
          <w:sz w:val="28"/>
          <w:szCs w:val="30"/>
        </w:rPr>
        <w:t>】</w:t>
      </w:r>
      <w:bookmarkStart w:id="0" w:name="a2"/>
      <w:bookmarkEnd w:id="0"/>
    </w:p>
    <w:p w:rsidR="00883BE7" w:rsidRDefault="005003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883BE7" w:rsidRDefault="00500300">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2040278</w:t>
      </w:r>
      <w:r>
        <w:rPr>
          <w:color w:val="000000"/>
          <w:szCs w:val="21"/>
        </w:rPr>
        <w:t>】</w:t>
      </w:r>
    </w:p>
    <w:p w:rsidR="00883BE7" w:rsidRDefault="005003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883BE7" w:rsidRDefault="005003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883BE7" w:rsidRDefault="005003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ascii="宋体" w:hAnsi="宋体" w:hint="eastAsia"/>
          <w:color w:val="000000"/>
          <w:sz w:val="20"/>
          <w:szCs w:val="20"/>
        </w:rPr>
        <w:t>◎</w:t>
      </w:r>
      <w:r>
        <w:rPr>
          <w:rFonts w:hint="eastAsia"/>
          <w:color w:val="000000"/>
          <w:sz w:val="20"/>
          <w:szCs w:val="20"/>
        </w:rPr>
        <w:t>专业核心课</w:t>
      </w:r>
      <w:r>
        <w:rPr>
          <w:color w:val="000000"/>
          <w:sz w:val="20"/>
          <w:szCs w:val="20"/>
        </w:rPr>
        <w:t>】</w:t>
      </w:r>
    </w:p>
    <w:p w:rsidR="00883BE7" w:rsidRDefault="00500300">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883BE7" w:rsidRDefault="00500300">
      <w:pPr>
        <w:snapToGrid w:val="0"/>
        <w:spacing w:line="288" w:lineRule="auto"/>
        <w:ind w:firstLineChars="196" w:firstLine="394"/>
        <w:rPr>
          <w:color w:val="000000"/>
          <w:sz w:val="20"/>
          <w:szCs w:val="20"/>
        </w:rPr>
      </w:pPr>
      <w:r>
        <w:rPr>
          <w:b/>
          <w:bCs/>
          <w:color w:val="000000"/>
          <w:sz w:val="20"/>
          <w:szCs w:val="20"/>
        </w:rPr>
        <w:t>使用教材：</w:t>
      </w:r>
    </w:p>
    <w:p w:rsidR="00883BE7" w:rsidRDefault="00500300">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《珠宝首饰设计》，郭新编著，上海人民美术出版社</w:t>
      </w:r>
      <w:r>
        <w:rPr>
          <w:rFonts w:hint="eastAsia"/>
          <w:color w:val="000000"/>
          <w:sz w:val="20"/>
          <w:szCs w:val="20"/>
        </w:rPr>
        <w:t xml:space="preserve"> 2009.5</w:t>
      </w:r>
      <w:r>
        <w:rPr>
          <w:color w:val="000000"/>
          <w:sz w:val="20"/>
          <w:szCs w:val="20"/>
        </w:rPr>
        <w:t>】</w:t>
      </w:r>
    </w:p>
    <w:p w:rsidR="00883BE7" w:rsidRDefault="00500300">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《珠宝首饰绘画表现技法》，王渊、罗理婷编著，上海人民美术出版社</w:t>
      </w:r>
      <w:r>
        <w:rPr>
          <w:rFonts w:hint="eastAsia"/>
          <w:color w:val="000000"/>
          <w:sz w:val="20"/>
          <w:szCs w:val="20"/>
        </w:rPr>
        <w:t>2009.4</w:t>
      </w:r>
      <w:r>
        <w:rPr>
          <w:color w:val="000000"/>
          <w:sz w:val="20"/>
          <w:szCs w:val="20"/>
        </w:rPr>
        <w:t>】</w:t>
      </w:r>
    </w:p>
    <w:p w:rsidR="00883BE7" w:rsidRDefault="00500300">
      <w:pPr>
        <w:snapToGrid w:val="0"/>
        <w:spacing w:line="288" w:lineRule="auto"/>
        <w:ind w:leftChars="342" w:left="718" w:firstLineChars="450" w:firstLine="900"/>
        <w:rPr>
          <w:color w:val="000000"/>
          <w:sz w:val="20"/>
          <w:szCs w:val="20"/>
        </w:rPr>
      </w:pPr>
      <w:r>
        <w:rPr>
          <w:color w:val="000000"/>
          <w:sz w:val="20"/>
          <w:szCs w:val="20"/>
        </w:rPr>
        <w:t>【</w:t>
      </w:r>
      <w:r>
        <w:rPr>
          <w:rFonts w:hint="eastAsia"/>
          <w:color w:val="000000"/>
          <w:sz w:val="20"/>
          <w:szCs w:val="20"/>
        </w:rPr>
        <w:t>《珠宝首饰设计与鉴赏》，陈征、郭守国编著，学林出版社</w:t>
      </w:r>
      <w:r>
        <w:rPr>
          <w:rFonts w:hint="eastAsia"/>
          <w:color w:val="000000"/>
          <w:sz w:val="20"/>
          <w:szCs w:val="20"/>
        </w:rPr>
        <w:t xml:space="preserve"> 2008.9</w:t>
      </w:r>
      <w:r>
        <w:rPr>
          <w:color w:val="000000"/>
          <w:sz w:val="20"/>
          <w:szCs w:val="20"/>
        </w:rPr>
        <w:t>】</w:t>
      </w:r>
    </w:p>
    <w:p w:rsidR="00883BE7" w:rsidRDefault="00500300">
      <w:pPr>
        <w:snapToGrid w:val="0"/>
        <w:spacing w:line="288" w:lineRule="auto"/>
        <w:ind w:leftChars="342" w:left="718" w:firstLineChars="450" w:firstLine="900"/>
        <w:rPr>
          <w:color w:val="000000"/>
          <w:szCs w:val="21"/>
        </w:rPr>
      </w:pPr>
      <w:r>
        <w:rPr>
          <w:color w:val="000000"/>
          <w:sz w:val="20"/>
          <w:szCs w:val="20"/>
        </w:rPr>
        <w:t>【</w:t>
      </w:r>
      <w:r>
        <w:rPr>
          <w:rFonts w:hint="eastAsia"/>
          <w:color w:val="000000"/>
          <w:sz w:val="20"/>
          <w:szCs w:val="20"/>
        </w:rPr>
        <w:t>《顶级珠宝设计》，</w:t>
      </w:r>
      <w:r>
        <w:rPr>
          <w:rFonts w:hint="eastAsia"/>
          <w:color w:val="000000"/>
          <w:sz w:val="20"/>
          <w:szCs w:val="20"/>
        </w:rPr>
        <w:t>Anastasia Young</w:t>
      </w:r>
      <w:r>
        <w:rPr>
          <w:rFonts w:hint="eastAsia"/>
          <w:color w:val="000000"/>
          <w:sz w:val="20"/>
          <w:szCs w:val="20"/>
        </w:rPr>
        <w:t>著，崔静译，电子工业出版社</w:t>
      </w:r>
      <w:r>
        <w:rPr>
          <w:rFonts w:hint="eastAsia"/>
          <w:color w:val="000000"/>
          <w:sz w:val="20"/>
          <w:szCs w:val="20"/>
        </w:rPr>
        <w:t xml:space="preserve"> 2015.5</w:t>
      </w:r>
      <w:r>
        <w:rPr>
          <w:color w:val="000000"/>
          <w:sz w:val="20"/>
          <w:szCs w:val="20"/>
        </w:rPr>
        <w:t>】</w:t>
      </w:r>
    </w:p>
    <w:p w:rsidR="00883BE7" w:rsidRDefault="00500300">
      <w:pPr>
        <w:snapToGrid w:val="0"/>
        <w:spacing w:line="288" w:lineRule="auto"/>
        <w:ind w:firstLineChars="245" w:firstLine="492"/>
        <w:rPr>
          <w:b/>
          <w:bCs/>
          <w:color w:val="000000"/>
          <w:sz w:val="20"/>
          <w:szCs w:val="20"/>
        </w:rPr>
      </w:pPr>
      <w:r>
        <w:rPr>
          <w:rFonts w:hint="eastAsia"/>
          <w:b/>
          <w:bCs/>
          <w:color w:val="000000"/>
          <w:sz w:val="20"/>
          <w:szCs w:val="20"/>
        </w:rPr>
        <w:t>课程网站网址：</w:t>
      </w:r>
    </w:p>
    <w:p w:rsidR="00883BE7" w:rsidRDefault="009C2CA1">
      <w:pPr>
        <w:snapToGrid w:val="0"/>
        <w:spacing w:line="288" w:lineRule="auto"/>
        <w:ind w:leftChars="234" w:left="491"/>
        <w:rPr>
          <w:b/>
          <w:bCs/>
          <w:color w:val="000000"/>
          <w:sz w:val="20"/>
          <w:szCs w:val="20"/>
        </w:rPr>
      </w:pPr>
      <w:hyperlink r:id="rId5" w:history="1">
        <w:r w:rsidR="00500300">
          <w:rPr>
            <w:rStyle w:val="a7"/>
            <w:sz w:val="20"/>
            <w:szCs w:val="20"/>
          </w:rPr>
          <w:t>https://elearning.gench.edu.cn:8443/webapps/portal/execute/tabs/tabAction?tab_tab_group_id=_1_1</w:t>
        </w:r>
      </w:hyperlink>
    </w:p>
    <w:p w:rsidR="00883BE7" w:rsidRDefault="00500300">
      <w:pPr>
        <w:snapToGrid w:val="0"/>
        <w:spacing w:line="288" w:lineRule="auto"/>
        <w:ind w:leftChars="191" w:left="401" w:firstLineChars="45" w:firstLine="90"/>
        <w:rPr>
          <w:color w:val="000000"/>
          <w:sz w:val="20"/>
          <w:szCs w:val="20"/>
        </w:rPr>
      </w:pPr>
      <w:r>
        <w:rPr>
          <w:b/>
          <w:bCs/>
          <w:color w:val="000000"/>
          <w:sz w:val="20"/>
          <w:szCs w:val="20"/>
        </w:rPr>
        <w:t>先修课程：</w:t>
      </w:r>
      <w:r w:rsidR="009C2CA1" w:rsidRPr="00DF3B1D">
        <w:rPr>
          <w:color w:val="000000" w:themeColor="text1"/>
          <w:sz w:val="20"/>
          <w:szCs w:val="20"/>
        </w:rPr>
        <w:t>【</w:t>
      </w:r>
      <w:r w:rsidR="009C2CA1" w:rsidRPr="00DF3B1D">
        <w:rPr>
          <w:rFonts w:hint="eastAsia"/>
          <w:color w:val="000000" w:themeColor="text1"/>
          <w:sz w:val="20"/>
          <w:szCs w:val="20"/>
        </w:rPr>
        <w:t>首饰设计专业绘图</w:t>
      </w:r>
      <w:r w:rsidR="009C2CA1" w:rsidRPr="00DF3B1D">
        <w:rPr>
          <w:rFonts w:hint="eastAsia"/>
          <w:color w:val="000000" w:themeColor="text1"/>
          <w:sz w:val="20"/>
          <w:szCs w:val="20"/>
        </w:rPr>
        <w:t xml:space="preserve"> 2040277</w:t>
      </w:r>
      <w:r w:rsidR="009C2CA1" w:rsidRPr="00DF3B1D">
        <w:rPr>
          <w:rFonts w:hint="eastAsia"/>
          <w:color w:val="000000" w:themeColor="text1"/>
          <w:sz w:val="20"/>
          <w:szCs w:val="20"/>
        </w:rPr>
        <w:t>（</w:t>
      </w:r>
      <w:r w:rsidR="009C2CA1" w:rsidRPr="00DF3B1D">
        <w:rPr>
          <w:rFonts w:hint="eastAsia"/>
          <w:color w:val="000000" w:themeColor="text1"/>
          <w:sz w:val="20"/>
          <w:szCs w:val="20"/>
        </w:rPr>
        <w:t>4</w:t>
      </w:r>
      <w:r w:rsidR="009C2CA1" w:rsidRPr="00DF3B1D">
        <w:rPr>
          <w:rFonts w:hint="eastAsia"/>
          <w:color w:val="000000" w:themeColor="text1"/>
          <w:sz w:val="20"/>
          <w:szCs w:val="20"/>
        </w:rPr>
        <w:t>）、首饰制作</w:t>
      </w:r>
      <w:r w:rsidR="009C2CA1" w:rsidRPr="00DF3B1D">
        <w:rPr>
          <w:rFonts w:hint="eastAsia"/>
          <w:color w:val="000000" w:themeColor="text1"/>
          <w:sz w:val="20"/>
          <w:szCs w:val="20"/>
        </w:rPr>
        <w:t>1</w:t>
      </w:r>
      <w:r w:rsidR="009C2CA1">
        <w:rPr>
          <w:color w:val="000000" w:themeColor="text1"/>
          <w:sz w:val="20"/>
          <w:szCs w:val="20"/>
        </w:rPr>
        <w:t xml:space="preserve">  </w:t>
      </w:r>
      <w:r w:rsidR="009C2CA1" w:rsidRPr="00DF3B1D">
        <w:rPr>
          <w:rFonts w:hint="eastAsia"/>
          <w:color w:val="000000" w:themeColor="text1"/>
          <w:sz w:val="20"/>
          <w:szCs w:val="20"/>
        </w:rPr>
        <w:t>2040090</w:t>
      </w:r>
      <w:r w:rsidR="009C2CA1" w:rsidRPr="00DF3B1D">
        <w:rPr>
          <w:rFonts w:hint="eastAsia"/>
          <w:color w:val="000000" w:themeColor="text1"/>
          <w:sz w:val="20"/>
          <w:szCs w:val="20"/>
        </w:rPr>
        <w:t>（</w:t>
      </w:r>
      <w:r w:rsidR="009C2CA1" w:rsidRPr="00DF3B1D">
        <w:rPr>
          <w:rFonts w:hint="eastAsia"/>
          <w:color w:val="000000" w:themeColor="text1"/>
          <w:sz w:val="20"/>
          <w:szCs w:val="20"/>
        </w:rPr>
        <w:t>4</w:t>
      </w:r>
      <w:r w:rsidR="009C2CA1" w:rsidRPr="00DF3B1D">
        <w:rPr>
          <w:rFonts w:hint="eastAsia"/>
          <w:color w:val="000000" w:themeColor="text1"/>
          <w:sz w:val="20"/>
          <w:szCs w:val="20"/>
        </w:rPr>
        <w:t>）、首饰制作</w:t>
      </w:r>
      <w:r w:rsidR="009C2CA1" w:rsidRPr="00DF3B1D">
        <w:rPr>
          <w:rFonts w:hint="eastAsia"/>
          <w:color w:val="000000" w:themeColor="text1"/>
          <w:sz w:val="20"/>
          <w:szCs w:val="20"/>
        </w:rPr>
        <w:t>2  2040091</w:t>
      </w:r>
      <w:r w:rsidR="009C2CA1" w:rsidRPr="00DF3B1D">
        <w:rPr>
          <w:rFonts w:hint="eastAsia"/>
          <w:color w:val="000000" w:themeColor="text1"/>
          <w:sz w:val="20"/>
          <w:szCs w:val="20"/>
        </w:rPr>
        <w:t>（</w:t>
      </w:r>
      <w:r w:rsidR="009C2CA1">
        <w:rPr>
          <w:color w:val="000000" w:themeColor="text1"/>
          <w:sz w:val="20"/>
          <w:szCs w:val="20"/>
        </w:rPr>
        <w:t>5</w:t>
      </w:r>
      <w:r w:rsidR="009C2CA1" w:rsidRPr="00DF3B1D">
        <w:rPr>
          <w:rFonts w:hint="eastAsia"/>
          <w:color w:val="000000" w:themeColor="text1"/>
          <w:sz w:val="20"/>
          <w:szCs w:val="20"/>
        </w:rPr>
        <w:t>）、珠宝设计软件（一）</w:t>
      </w:r>
      <w:r w:rsidR="009C2CA1" w:rsidRPr="00DF3B1D">
        <w:rPr>
          <w:rFonts w:hint="eastAsia"/>
          <w:color w:val="000000" w:themeColor="text1"/>
          <w:sz w:val="20"/>
          <w:szCs w:val="20"/>
        </w:rPr>
        <w:t>212003</w:t>
      </w:r>
      <w:r w:rsidR="009C2CA1">
        <w:rPr>
          <w:color w:val="000000" w:themeColor="text1"/>
          <w:sz w:val="20"/>
          <w:szCs w:val="20"/>
        </w:rPr>
        <w:t>2</w:t>
      </w:r>
      <w:r w:rsidR="009C2CA1" w:rsidRPr="00DF3B1D">
        <w:rPr>
          <w:rFonts w:hint="eastAsia"/>
          <w:color w:val="000000" w:themeColor="text1"/>
          <w:sz w:val="20"/>
          <w:szCs w:val="20"/>
        </w:rPr>
        <w:t>（</w:t>
      </w:r>
      <w:r w:rsidR="009C2CA1" w:rsidRPr="00DF3B1D">
        <w:rPr>
          <w:rFonts w:hint="eastAsia"/>
          <w:color w:val="000000" w:themeColor="text1"/>
          <w:sz w:val="20"/>
          <w:szCs w:val="20"/>
        </w:rPr>
        <w:t>2</w:t>
      </w:r>
      <w:r w:rsidR="009C2CA1" w:rsidRPr="00DF3B1D">
        <w:rPr>
          <w:rFonts w:hint="eastAsia"/>
          <w:color w:val="000000" w:themeColor="text1"/>
          <w:sz w:val="20"/>
          <w:szCs w:val="20"/>
        </w:rPr>
        <w:t>）</w:t>
      </w:r>
      <w:r w:rsidR="009C2CA1" w:rsidRPr="00DF3B1D">
        <w:rPr>
          <w:color w:val="000000" w:themeColor="text1"/>
          <w:sz w:val="20"/>
          <w:szCs w:val="20"/>
        </w:rPr>
        <w:t>】</w:t>
      </w:r>
    </w:p>
    <w:p w:rsidR="00883BE7" w:rsidRDefault="005003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883BE7" w:rsidRDefault="00500300">
      <w:pPr>
        <w:snapToGrid w:val="0"/>
        <w:spacing w:line="288" w:lineRule="auto"/>
        <w:ind w:firstLineChars="200" w:firstLine="400"/>
        <w:rPr>
          <w:color w:val="000000"/>
          <w:sz w:val="20"/>
          <w:szCs w:val="20"/>
        </w:rPr>
      </w:pPr>
      <w:r>
        <w:rPr>
          <w:rFonts w:hint="eastAsia"/>
          <w:color w:val="000000"/>
          <w:sz w:val="20"/>
          <w:szCs w:val="20"/>
        </w:rPr>
        <w:t>首饰专题设计课程的研究对象是从首饰设计中分门别类的多种设计主题入手进行分类分专题教学。首饰种类繁多，形制、风格、场景环境、宝石材质等对首饰都有着设计的限制和影响，从而形成了多种首饰设计专题。</w:t>
      </w:r>
    </w:p>
    <w:p w:rsidR="00883BE7" w:rsidRDefault="00500300">
      <w:pPr>
        <w:snapToGrid w:val="0"/>
        <w:spacing w:line="288" w:lineRule="auto"/>
        <w:ind w:firstLineChars="200" w:firstLine="400"/>
        <w:rPr>
          <w:color w:val="000000"/>
          <w:sz w:val="20"/>
          <w:szCs w:val="20"/>
        </w:rPr>
      </w:pPr>
      <w:r>
        <w:rPr>
          <w:rFonts w:hint="eastAsia"/>
          <w:color w:val="000000"/>
          <w:sz w:val="20"/>
          <w:szCs w:val="20"/>
        </w:rPr>
        <w:t>此课程正是从多种首饰专题出发，从专题背景及要求开始，到构图方法和环境渲染融合，再到设计元素的提取与正规草图表现，到创意元素的二次分类和提取，来不断扩大扩宽设计思路，从而进行更为深入细致具体的设计，最终通过首饰正稿来表现设计主题。</w:t>
      </w:r>
    </w:p>
    <w:p w:rsidR="00883BE7" w:rsidRDefault="00500300">
      <w:pPr>
        <w:snapToGrid w:val="0"/>
        <w:spacing w:line="288" w:lineRule="auto"/>
        <w:ind w:firstLineChars="200" w:firstLine="400"/>
        <w:rPr>
          <w:color w:val="000000"/>
          <w:sz w:val="20"/>
          <w:szCs w:val="20"/>
        </w:rPr>
      </w:pPr>
      <w:r>
        <w:rPr>
          <w:rFonts w:hint="eastAsia"/>
          <w:color w:val="000000"/>
          <w:sz w:val="20"/>
          <w:szCs w:val="20"/>
        </w:rPr>
        <w:t>此课程将首饰设计专题归纳总结成风格、情景、定制三个主要部分。其中风格这一大类主要分自然风格、传统风格、现代简约风格、当代风格这四分部分来进行专项讲解与训练。情景这一大类主要由婚庆（情侣）和影视这两部分组成，而最后的定制类主要是结合市场的商业首饰设计专项，从高端定制和一般市场开发两个角度进行设计训练。整个课程设置概括性的将首饰设计中所涉及到的门类进行了汇总和综合。通过理论的深入讲解，加强对学生的实践操作能力的培养，强化巩固其设计能力提升综合设计素质。此门课程在整个首饰设计专业中具有相当重要的的作业和地位。</w:t>
      </w:r>
    </w:p>
    <w:p w:rsidR="00883BE7" w:rsidRDefault="005003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883BE7" w:rsidRDefault="00500300">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学习本课程的学生应具备手绘基本能力、且对首饰结构等专业知识有一定的认识与了解。因此先修课程包括专业课首饰设计专业绘图、首饰制作（</w:t>
      </w:r>
      <w:r>
        <w:rPr>
          <w:rFonts w:hint="eastAsia"/>
          <w:color w:val="000000"/>
          <w:sz w:val="20"/>
          <w:szCs w:val="20"/>
        </w:rPr>
        <w:t>1</w:t>
      </w:r>
      <w:r>
        <w:rPr>
          <w:rFonts w:hint="eastAsia"/>
          <w:color w:val="000000"/>
          <w:sz w:val="20"/>
          <w:szCs w:val="20"/>
        </w:rPr>
        <w:t>）（</w:t>
      </w:r>
      <w:r>
        <w:rPr>
          <w:rFonts w:hint="eastAsia"/>
          <w:color w:val="000000"/>
          <w:sz w:val="20"/>
          <w:szCs w:val="20"/>
        </w:rPr>
        <w:t>2</w:t>
      </w:r>
      <w:r>
        <w:rPr>
          <w:rFonts w:hint="eastAsia"/>
          <w:color w:val="000000"/>
          <w:sz w:val="20"/>
          <w:szCs w:val="20"/>
        </w:rPr>
        <w:t>）等课程。本课程适于产品设计（珠宝首饰设计）专业本科学生第</w:t>
      </w:r>
      <w:r w:rsidR="009C2CA1">
        <w:rPr>
          <w:rFonts w:hint="eastAsia"/>
          <w:color w:val="000000"/>
          <w:sz w:val="20"/>
          <w:szCs w:val="20"/>
        </w:rPr>
        <w:t>四</w:t>
      </w:r>
      <w:r>
        <w:rPr>
          <w:rFonts w:hint="eastAsia"/>
          <w:color w:val="000000"/>
          <w:sz w:val="20"/>
          <w:szCs w:val="20"/>
        </w:rPr>
        <w:t>学期学习。</w:t>
      </w:r>
    </w:p>
    <w:p w:rsidR="00883BE7" w:rsidRDefault="00883BE7">
      <w:pPr>
        <w:snapToGrid w:val="0"/>
        <w:spacing w:line="288" w:lineRule="auto"/>
        <w:ind w:firstLineChars="200" w:firstLine="400"/>
        <w:rPr>
          <w:color w:val="000000"/>
          <w:sz w:val="20"/>
          <w:szCs w:val="20"/>
        </w:rPr>
      </w:pPr>
    </w:p>
    <w:p w:rsidR="00883BE7" w:rsidRDefault="00883BE7">
      <w:pPr>
        <w:snapToGrid w:val="0"/>
        <w:spacing w:line="288" w:lineRule="auto"/>
        <w:ind w:firstLineChars="200" w:firstLine="400"/>
        <w:rPr>
          <w:color w:val="000000"/>
          <w:sz w:val="20"/>
          <w:szCs w:val="20"/>
        </w:rPr>
      </w:pPr>
    </w:p>
    <w:p w:rsidR="00883BE7" w:rsidRDefault="00500300">
      <w:pPr>
        <w:widowControl/>
        <w:spacing w:beforeLines="50" w:before="156" w:afterLines="50" w:after="156" w:line="288" w:lineRule="auto"/>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883BE7">
        <w:tc>
          <w:tcPr>
            <w:tcW w:w="6803"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883BE7">
        <w:tc>
          <w:tcPr>
            <w:tcW w:w="6803" w:type="dxa"/>
            <w:vAlign w:val="center"/>
          </w:tcPr>
          <w:p w:rsidR="00883BE7" w:rsidRDefault="00500300">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883BE7" w:rsidRDefault="00883BE7">
            <w:pPr>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LO34：掌握珠宝首饰设计基本原理和基本方法，具有较强的珠宝首饰设计手绘和电绘能力。</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rPr>
          <w:trHeight w:val="363"/>
        </w:trPr>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bl>
    <w:p w:rsidR="00883BE7" w:rsidRDefault="00883BE7"/>
    <w:p w:rsidR="00883BE7" w:rsidRDefault="005003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883BE7">
        <w:tc>
          <w:tcPr>
            <w:tcW w:w="53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课程预期</w:t>
            </w:r>
          </w:p>
          <w:p w:rsidR="00883BE7" w:rsidRDefault="005003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883BE7" w:rsidRDefault="00500300">
            <w:pPr>
              <w:snapToGrid w:val="0"/>
              <w:spacing w:line="288" w:lineRule="auto"/>
              <w:jc w:val="center"/>
              <w:rPr>
                <w:b/>
                <w:color w:val="000000"/>
                <w:sz w:val="20"/>
                <w:szCs w:val="20"/>
                <w:highlight w:val="yellow"/>
              </w:rPr>
            </w:pPr>
            <w:r>
              <w:rPr>
                <w:rFonts w:hint="eastAsia"/>
                <w:b/>
                <w:color w:val="000000"/>
                <w:sz w:val="20"/>
                <w:szCs w:val="20"/>
              </w:rPr>
              <w:t>课程目标</w:t>
            </w:r>
          </w:p>
          <w:p w:rsidR="00883BE7" w:rsidRDefault="0050030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评价方式</w:t>
            </w:r>
          </w:p>
        </w:tc>
      </w:tr>
      <w:tr w:rsidR="00883BE7">
        <w:tc>
          <w:tcPr>
            <w:tcW w:w="535" w:type="dxa"/>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rPr>
              <w:t>LO212</w:t>
            </w: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通过学生自主搜集、分析成功的首饰自然专题设计案例，进行设计方法分析和总结，再结合个人素材进行再设计创作</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自学</w:t>
            </w:r>
          </w:p>
        </w:tc>
        <w:tc>
          <w:tcPr>
            <w:tcW w:w="1276"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作品</w:t>
            </w:r>
          </w:p>
        </w:tc>
      </w:tr>
      <w:tr w:rsidR="00883BE7">
        <w:tc>
          <w:tcPr>
            <w:tcW w:w="535" w:type="dxa"/>
            <w:vMerge w:val="restart"/>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rPr>
              <w:t>LO343</w:t>
            </w: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1、掌握首饰设计的方法，结合传统及古典设计风格需求，完成手绘设计图。</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883BE7" w:rsidRDefault="00500300">
            <w:pPr>
              <w:snapToGrid w:val="0"/>
              <w:spacing w:line="288" w:lineRule="auto"/>
              <w:jc w:val="center"/>
              <w:rPr>
                <w:rFonts w:ascii="黑体" w:eastAsia="黑体" w:hAnsi="宋体"/>
                <w:sz w:val="24"/>
              </w:rPr>
            </w:pPr>
            <w:r>
              <w:rPr>
                <w:rFonts w:ascii="仿宋" w:eastAsia="仿宋" w:hAnsi="仿宋" w:hint="eastAsia"/>
                <w:sz w:val="20"/>
                <w:szCs w:val="20"/>
              </w:rPr>
              <w:t>作品</w:t>
            </w:r>
          </w:p>
        </w:tc>
      </w:tr>
      <w:tr w:rsidR="00883BE7">
        <w:tc>
          <w:tcPr>
            <w:tcW w:w="535" w:type="dxa"/>
            <w:vMerge/>
            <w:shd w:val="clear" w:color="auto" w:fill="auto"/>
          </w:tcPr>
          <w:p w:rsidR="00883BE7" w:rsidRDefault="00883BE7">
            <w:pPr>
              <w:rPr>
                <w:rFonts w:ascii="仿宋" w:eastAsia="仿宋" w:hAnsi="仿宋" w:cs="宋体"/>
                <w:color w:val="000000"/>
                <w:kern w:val="0"/>
                <w:sz w:val="24"/>
              </w:rPr>
            </w:pPr>
          </w:p>
        </w:tc>
        <w:tc>
          <w:tcPr>
            <w:tcW w:w="1175" w:type="dxa"/>
            <w:vMerge/>
            <w:shd w:val="clear" w:color="auto" w:fill="auto"/>
          </w:tcPr>
          <w:p w:rsidR="00883BE7" w:rsidRDefault="00883BE7">
            <w:pPr>
              <w:rPr>
                <w:rFonts w:ascii="仿宋" w:eastAsia="仿宋" w:hAnsi="仿宋" w:cs="宋体"/>
                <w:color w:val="000000"/>
                <w:kern w:val="0"/>
                <w:sz w:val="24"/>
              </w:rPr>
            </w:pP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2.将首饰设计的原理运用于现代及装饰风格的首饰</w:t>
            </w:r>
            <w:r>
              <w:rPr>
                <w:rFonts w:ascii="仿宋" w:eastAsia="仿宋" w:hAnsi="仿宋" w:cs="宋体" w:hint="eastAsia"/>
                <w:color w:val="000000"/>
                <w:kern w:val="0"/>
                <w:sz w:val="20"/>
                <w:szCs w:val="20"/>
              </w:rPr>
              <w:lastRenderedPageBreak/>
              <w:t>专题设计中，并完成相应设计图</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lastRenderedPageBreak/>
              <w:t>讲授、实验</w:t>
            </w:r>
          </w:p>
        </w:tc>
        <w:tc>
          <w:tcPr>
            <w:tcW w:w="1276" w:type="dxa"/>
            <w:shd w:val="clear" w:color="auto" w:fill="auto"/>
          </w:tcPr>
          <w:p w:rsidR="00883BE7" w:rsidRDefault="00500300">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883BE7">
        <w:tc>
          <w:tcPr>
            <w:tcW w:w="535" w:type="dxa"/>
            <w:vMerge/>
            <w:shd w:val="clear" w:color="auto" w:fill="auto"/>
          </w:tcPr>
          <w:p w:rsidR="00883BE7" w:rsidRDefault="00883BE7">
            <w:pPr>
              <w:rPr>
                <w:rFonts w:ascii="仿宋" w:eastAsia="仿宋" w:hAnsi="仿宋" w:cs="宋体"/>
                <w:color w:val="000000"/>
                <w:kern w:val="0"/>
                <w:sz w:val="24"/>
              </w:rPr>
            </w:pPr>
          </w:p>
        </w:tc>
        <w:tc>
          <w:tcPr>
            <w:tcW w:w="1175" w:type="dxa"/>
            <w:vMerge/>
            <w:shd w:val="clear" w:color="auto" w:fill="auto"/>
          </w:tcPr>
          <w:p w:rsidR="00883BE7" w:rsidRDefault="00883BE7">
            <w:pPr>
              <w:rPr>
                <w:rFonts w:ascii="仿宋" w:eastAsia="仿宋" w:hAnsi="仿宋" w:cs="宋体"/>
                <w:color w:val="000000"/>
                <w:kern w:val="0"/>
                <w:sz w:val="24"/>
              </w:rPr>
            </w:pP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3.综合运用首饰专题设计的形式美感法则结合设计需求进行情景首饰设计。</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883BE7" w:rsidRDefault="00500300">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883BE7">
        <w:tc>
          <w:tcPr>
            <w:tcW w:w="535" w:type="dxa"/>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883BE7" w:rsidRDefault="00500300">
            <w:pPr>
              <w:rPr>
                <w:rFonts w:ascii="仿宋" w:eastAsia="仿宋" w:hAnsi="仿宋" w:cs="宋体"/>
                <w:color w:val="000000"/>
                <w:kern w:val="0"/>
                <w:sz w:val="24"/>
              </w:rPr>
            </w:pPr>
            <w:r>
              <w:rPr>
                <w:rFonts w:ascii="仿宋" w:eastAsia="仿宋" w:hAnsi="仿宋" w:cs="宋体" w:hint="eastAsia"/>
                <w:color w:val="000000"/>
                <w:kern w:val="0"/>
                <w:sz w:val="24"/>
              </w:rPr>
              <w:t>LO513</w:t>
            </w:r>
          </w:p>
        </w:tc>
        <w:tc>
          <w:tcPr>
            <w:tcW w:w="2470" w:type="dxa"/>
            <w:shd w:val="clear" w:color="auto" w:fill="auto"/>
          </w:tcPr>
          <w:p w:rsidR="00883BE7" w:rsidRDefault="00500300">
            <w:pPr>
              <w:rPr>
                <w:rFonts w:ascii="仿宋" w:eastAsia="仿宋" w:hAnsi="仿宋" w:cs="宋体"/>
                <w:color w:val="000000"/>
                <w:kern w:val="0"/>
                <w:sz w:val="20"/>
                <w:szCs w:val="20"/>
              </w:rPr>
            </w:pPr>
            <w:r>
              <w:rPr>
                <w:rFonts w:ascii="仿宋" w:eastAsia="仿宋" w:hAnsi="仿宋" w:cs="宋体" w:hint="eastAsia"/>
                <w:color w:val="000000"/>
                <w:kern w:val="0"/>
                <w:sz w:val="20"/>
                <w:szCs w:val="20"/>
              </w:rPr>
              <w:t>结合具体的商业设计需求，用创新思维和创新的设计的方法来进行高级定制的设计，体现款式的设计创新性。</w:t>
            </w:r>
          </w:p>
        </w:tc>
        <w:tc>
          <w:tcPr>
            <w:tcW w:w="2199" w:type="dxa"/>
            <w:shd w:val="clear" w:color="auto" w:fill="auto"/>
          </w:tcPr>
          <w:p w:rsidR="00883BE7" w:rsidRDefault="00500300">
            <w:pPr>
              <w:snapToGrid w:val="0"/>
              <w:spacing w:line="288" w:lineRule="auto"/>
              <w:jc w:val="center"/>
              <w:rPr>
                <w:rFonts w:ascii="仿宋" w:eastAsia="仿宋" w:hAnsi="仿宋"/>
                <w:sz w:val="20"/>
                <w:szCs w:val="20"/>
              </w:rPr>
            </w:pPr>
            <w:r>
              <w:rPr>
                <w:rFonts w:ascii="仿宋" w:eastAsia="仿宋" w:hAnsi="仿宋" w:hint="eastAsia"/>
                <w:sz w:val="20"/>
                <w:szCs w:val="20"/>
              </w:rPr>
              <w:t>实验、汇报</w:t>
            </w:r>
          </w:p>
        </w:tc>
        <w:tc>
          <w:tcPr>
            <w:tcW w:w="1276" w:type="dxa"/>
            <w:shd w:val="clear" w:color="auto" w:fill="auto"/>
          </w:tcPr>
          <w:p w:rsidR="00883BE7" w:rsidRDefault="00500300">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bl>
    <w:p w:rsidR="00883BE7" w:rsidRDefault="00883BE7">
      <w:pPr>
        <w:snapToGrid w:val="0"/>
        <w:spacing w:line="288" w:lineRule="auto"/>
        <w:rPr>
          <w:rFonts w:ascii="黑体" w:eastAsia="黑体" w:hAnsi="宋体"/>
          <w:sz w:val="24"/>
        </w:rPr>
      </w:pPr>
    </w:p>
    <w:p w:rsidR="00883BE7" w:rsidRDefault="005003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教学重点：掌握各种专业设计的需求，针对专题要求进行设计。</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教学难点：使学生具备全面的设计和表现能力，综合把握设计表现效果。</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总课时：64学时，其中理论课程授课学时约为24学时，设计实践与辅导约为40学时，课外调研及作业时间不计在内。</w:t>
      </w:r>
    </w:p>
    <w:p w:rsidR="00883BE7" w:rsidRDefault="00883BE7">
      <w:pPr>
        <w:snapToGrid w:val="0"/>
        <w:spacing w:line="288" w:lineRule="auto"/>
        <w:ind w:firstLineChars="200" w:firstLine="400"/>
        <w:rPr>
          <w:rFonts w:ascii="宋体" w:hAnsi="宋体"/>
          <w:bCs/>
          <w:sz w:val="20"/>
          <w:szCs w:val="20"/>
        </w:rPr>
      </w:pP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第一章、首饰设计专题理论</w:t>
      </w:r>
      <w:r>
        <w:rPr>
          <w:rFonts w:ascii="宋体" w:hAnsi="宋体" w:hint="eastAsia"/>
          <w:b/>
          <w:bCs/>
          <w:sz w:val="20"/>
          <w:szCs w:val="20"/>
        </w:rPr>
        <w:t>（理论4学时）</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一、首饰设计的基本理论</w:t>
      </w:r>
      <w:r>
        <w:rPr>
          <w:rFonts w:ascii="宋体" w:hAnsi="宋体" w:hint="eastAsia"/>
          <w:b/>
          <w:bCs/>
          <w:sz w:val="20"/>
          <w:szCs w:val="20"/>
        </w:rPr>
        <w:t>（理论2学时）</w:t>
      </w:r>
      <w:r>
        <w:rPr>
          <w:rFonts w:ascii="宋体" w:hAnsi="宋体" w:hint="eastAsia"/>
          <w:bCs/>
          <w:sz w:val="20"/>
          <w:szCs w:val="20"/>
        </w:rPr>
        <w:t>：</w:t>
      </w:r>
      <w:r>
        <w:rPr>
          <w:rFonts w:ascii="宋体" w:hAnsi="宋体" w:hint="eastAsia"/>
          <w:b/>
          <w:bCs/>
          <w:sz w:val="20"/>
          <w:szCs w:val="20"/>
        </w:rPr>
        <w:t>理解</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调查和分析阶段的核心——分析和找到设计问题；</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设计概念和方案构思阶段——针对找到的核心问题切入并付诸造型；</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效果图绘制阶段——以最佳的形式表现最终设计成果。</w:t>
      </w:r>
      <w:r>
        <w:rPr>
          <w:rFonts w:ascii="宋体" w:hAnsi="宋体" w:hint="eastAsia"/>
          <w:b/>
          <w:bCs/>
          <w:sz w:val="20"/>
          <w:szCs w:val="20"/>
        </w:rPr>
        <w:t>知道</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二、首饰专题设计研究的意义、内容、目的</w:t>
      </w:r>
      <w:r>
        <w:rPr>
          <w:rFonts w:ascii="宋体" w:hAnsi="宋体" w:hint="eastAsia"/>
          <w:b/>
          <w:bCs/>
          <w:sz w:val="20"/>
          <w:szCs w:val="20"/>
        </w:rPr>
        <w:t>（理论2学时）</w:t>
      </w:r>
    </w:p>
    <w:p w:rsidR="00883BE7" w:rsidRDefault="00500300">
      <w:pPr>
        <w:snapToGrid w:val="0"/>
        <w:spacing w:line="288" w:lineRule="auto"/>
        <w:rPr>
          <w:rFonts w:ascii="宋体" w:hAnsi="宋体"/>
          <w:bCs/>
          <w:sz w:val="20"/>
          <w:szCs w:val="20"/>
        </w:rPr>
      </w:pPr>
      <w:r>
        <w:rPr>
          <w:rFonts w:ascii="宋体" w:hAnsi="宋体" w:hint="eastAsia"/>
          <w:bCs/>
          <w:sz w:val="20"/>
          <w:szCs w:val="20"/>
        </w:rPr>
        <w:t>本章节教学难点：深刻理解不同首饰专题的特性和设计要点</w:t>
      </w:r>
    </w:p>
    <w:p w:rsidR="00883BE7" w:rsidRDefault="00883BE7">
      <w:pPr>
        <w:snapToGrid w:val="0"/>
        <w:spacing w:line="288" w:lineRule="auto"/>
        <w:ind w:firstLineChars="200" w:firstLine="400"/>
        <w:rPr>
          <w:rFonts w:ascii="宋体" w:hAnsi="宋体"/>
          <w:bCs/>
          <w:sz w:val="20"/>
          <w:szCs w:val="20"/>
        </w:rPr>
      </w:pP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第二章、首饰专题设计的分类与设计实践</w:t>
      </w:r>
      <w:r>
        <w:rPr>
          <w:rFonts w:ascii="宋体" w:hAnsi="宋体" w:hint="eastAsia"/>
          <w:b/>
          <w:bCs/>
          <w:sz w:val="20"/>
          <w:szCs w:val="20"/>
        </w:rPr>
        <w:t>（理论18学时、实践34学时）</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一、首饰风格专题设计</w:t>
      </w:r>
      <w:r>
        <w:rPr>
          <w:rFonts w:ascii="宋体" w:hAnsi="宋体" w:hint="eastAsia"/>
          <w:b/>
          <w:bCs/>
          <w:sz w:val="20"/>
          <w:szCs w:val="20"/>
        </w:rPr>
        <w:t>（理论10学时、实践18学时）</w:t>
      </w:r>
      <w:r>
        <w:rPr>
          <w:rFonts w:ascii="宋体" w:hAnsi="宋体" w:hint="eastAsia"/>
          <w:bCs/>
          <w:sz w:val="20"/>
          <w:szCs w:val="20"/>
        </w:rPr>
        <w:t>：</w:t>
      </w:r>
      <w:r>
        <w:rPr>
          <w:rFonts w:ascii="宋体" w:hAnsi="宋体" w:hint="eastAsia"/>
          <w:b/>
          <w:bCs/>
          <w:sz w:val="20"/>
          <w:szCs w:val="20"/>
        </w:rPr>
        <w:t>理解、运用</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1、自然浪漫风格：设计具有自然气息的首饰套件、或体现浪漫情怀及意境的首饰套件。</w:t>
      </w:r>
    </w:p>
    <w:p w:rsidR="00883BE7" w:rsidRDefault="00500300">
      <w:pPr>
        <w:snapToGrid w:val="0"/>
        <w:spacing w:line="288" w:lineRule="auto"/>
        <w:ind w:leftChars="191" w:left="701" w:hangingChars="150" w:hanging="300"/>
        <w:rPr>
          <w:rFonts w:ascii="宋体" w:hAnsi="宋体"/>
          <w:bCs/>
          <w:sz w:val="20"/>
          <w:szCs w:val="20"/>
        </w:rPr>
      </w:pPr>
      <w:r>
        <w:rPr>
          <w:rFonts w:ascii="宋体" w:hAnsi="宋体" w:hint="eastAsia"/>
          <w:bCs/>
          <w:sz w:val="20"/>
          <w:szCs w:val="20"/>
        </w:rPr>
        <w:t>2、传统古典艺术风格：结合中国传统文化或西方古典风格演变过程进行系列设计，可结合影视作品创作。</w:t>
      </w:r>
    </w:p>
    <w:p w:rsidR="00883BE7" w:rsidRDefault="00500300">
      <w:pPr>
        <w:snapToGrid w:val="0"/>
        <w:spacing w:line="288" w:lineRule="auto"/>
        <w:ind w:leftChars="191" w:left="701" w:hangingChars="150" w:hanging="300"/>
        <w:rPr>
          <w:rFonts w:ascii="宋体" w:hAnsi="宋体"/>
          <w:bCs/>
          <w:sz w:val="20"/>
          <w:szCs w:val="20"/>
        </w:rPr>
      </w:pPr>
      <w:r>
        <w:rPr>
          <w:rFonts w:ascii="宋体" w:hAnsi="宋体" w:hint="eastAsia"/>
          <w:bCs/>
          <w:sz w:val="20"/>
          <w:szCs w:val="20"/>
        </w:rPr>
        <w:t>3、装饰艺术与现代简约首饰风格：结合装饰艺术风格或现代简约风格，从建筑绘画及大师作品中提取元素，进行设计套件或系列首饰。</w:t>
      </w:r>
    </w:p>
    <w:p w:rsidR="00883BE7" w:rsidRDefault="00500300">
      <w:pPr>
        <w:snapToGrid w:val="0"/>
        <w:spacing w:line="288" w:lineRule="auto"/>
        <w:ind w:leftChars="191" w:left="701" w:hangingChars="150" w:hanging="300"/>
        <w:rPr>
          <w:rFonts w:ascii="宋体" w:hAnsi="宋体"/>
          <w:bCs/>
          <w:sz w:val="20"/>
          <w:szCs w:val="20"/>
        </w:rPr>
      </w:pPr>
      <w:r>
        <w:rPr>
          <w:rFonts w:ascii="宋体" w:hAnsi="宋体" w:hint="eastAsia"/>
          <w:bCs/>
          <w:sz w:val="20"/>
          <w:szCs w:val="20"/>
        </w:rPr>
        <w:t>4、当代艺术首饰风格：运用特殊材质进行设计，体现现代首饰风格或当代首饰风格并要求具有趣味性。</w:t>
      </w:r>
    </w:p>
    <w:p w:rsidR="00883BE7" w:rsidRDefault="00500300">
      <w:pPr>
        <w:snapToGrid w:val="0"/>
        <w:spacing w:line="288" w:lineRule="auto"/>
        <w:ind w:firstLineChars="200" w:firstLine="400"/>
        <w:rPr>
          <w:rFonts w:ascii="宋体" w:hAnsi="宋体"/>
          <w:b/>
          <w:bCs/>
          <w:sz w:val="20"/>
          <w:szCs w:val="20"/>
        </w:rPr>
      </w:pPr>
      <w:r>
        <w:rPr>
          <w:rFonts w:ascii="宋体" w:hAnsi="宋体" w:hint="eastAsia"/>
          <w:bCs/>
          <w:sz w:val="20"/>
          <w:szCs w:val="20"/>
        </w:rPr>
        <w:t>二、首饰情景专题设计</w:t>
      </w:r>
      <w:r>
        <w:rPr>
          <w:rFonts w:ascii="宋体" w:hAnsi="宋体" w:hint="eastAsia"/>
          <w:b/>
          <w:bCs/>
          <w:sz w:val="20"/>
          <w:szCs w:val="20"/>
        </w:rPr>
        <w:t>（理论2学时、实践6学时）：分析、运用</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1、时尚情侣款式设计</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2、现代婚庆款式设计</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三、</w:t>
      </w:r>
      <w:r>
        <w:rPr>
          <w:rFonts w:ascii="宋体" w:hAnsi="宋体" w:hint="eastAsia"/>
          <w:bCs/>
          <w:sz w:val="20"/>
          <w:szCs w:val="20"/>
        </w:rPr>
        <w:tab/>
        <w:t>商业定制专题设计</w:t>
      </w:r>
      <w:r>
        <w:rPr>
          <w:rFonts w:ascii="宋体" w:hAnsi="宋体" w:hint="eastAsia"/>
          <w:b/>
          <w:bCs/>
          <w:sz w:val="20"/>
          <w:szCs w:val="20"/>
        </w:rPr>
        <w:t>（理论6学时、实践10学时）：运用、综合</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1、高端定制款式</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2、商业款式设计</w:t>
      </w:r>
    </w:p>
    <w:p w:rsidR="00883BE7" w:rsidRDefault="00500300">
      <w:pPr>
        <w:snapToGrid w:val="0"/>
        <w:spacing w:line="288" w:lineRule="auto"/>
        <w:rPr>
          <w:rFonts w:ascii="宋体" w:hAnsi="宋体"/>
          <w:bCs/>
          <w:sz w:val="20"/>
          <w:szCs w:val="20"/>
        </w:rPr>
      </w:pPr>
      <w:r>
        <w:rPr>
          <w:rFonts w:ascii="宋体" w:hAnsi="宋体" w:hint="eastAsia"/>
          <w:bCs/>
          <w:sz w:val="20"/>
          <w:szCs w:val="20"/>
        </w:rPr>
        <w:t>本章节教学难点：对于不同专题设计的要求与设计款式之间的契合度把握</w:t>
      </w:r>
    </w:p>
    <w:p w:rsidR="00883BE7" w:rsidRDefault="00883BE7">
      <w:pPr>
        <w:snapToGrid w:val="0"/>
        <w:spacing w:line="288" w:lineRule="auto"/>
        <w:rPr>
          <w:rFonts w:ascii="宋体" w:hAnsi="宋体"/>
          <w:bCs/>
          <w:sz w:val="20"/>
          <w:szCs w:val="20"/>
        </w:rPr>
      </w:pP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t>第三章、综合首饰设计</w:t>
      </w:r>
      <w:r>
        <w:rPr>
          <w:rFonts w:ascii="宋体" w:hAnsi="宋体" w:hint="eastAsia"/>
          <w:b/>
          <w:bCs/>
          <w:sz w:val="20"/>
          <w:szCs w:val="20"/>
        </w:rPr>
        <w:t>（理论2学时、实践6学时）综合、运用、评价</w:t>
      </w:r>
    </w:p>
    <w:p w:rsidR="00883BE7" w:rsidRDefault="00500300">
      <w:pPr>
        <w:snapToGrid w:val="0"/>
        <w:spacing w:line="288" w:lineRule="auto"/>
        <w:ind w:firstLineChars="200" w:firstLine="400"/>
        <w:rPr>
          <w:rFonts w:ascii="宋体" w:hAnsi="宋体"/>
          <w:bCs/>
          <w:sz w:val="20"/>
          <w:szCs w:val="20"/>
        </w:rPr>
      </w:pPr>
      <w:r>
        <w:rPr>
          <w:rFonts w:ascii="宋体" w:hAnsi="宋体" w:hint="eastAsia"/>
          <w:bCs/>
          <w:sz w:val="20"/>
          <w:szCs w:val="20"/>
        </w:rPr>
        <w:lastRenderedPageBreak/>
        <w:t>一、命题式艺术首饰综合设计</w:t>
      </w:r>
    </w:p>
    <w:p w:rsidR="00883BE7" w:rsidRDefault="00500300">
      <w:pPr>
        <w:snapToGrid w:val="0"/>
        <w:spacing w:line="288" w:lineRule="auto"/>
        <w:rPr>
          <w:rFonts w:ascii="宋体" w:hAnsi="宋体"/>
          <w:bCs/>
          <w:sz w:val="20"/>
          <w:szCs w:val="20"/>
        </w:rPr>
      </w:pPr>
      <w:r>
        <w:rPr>
          <w:rFonts w:ascii="宋体" w:hAnsi="宋体" w:hint="eastAsia"/>
          <w:bCs/>
          <w:sz w:val="20"/>
          <w:szCs w:val="20"/>
        </w:rPr>
        <w:t>本章节教学难点：对于设计命题的把握和综合表现</w:t>
      </w:r>
    </w:p>
    <w:p w:rsidR="00883BE7" w:rsidRDefault="005003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57"/>
        <w:gridCol w:w="3116"/>
        <w:gridCol w:w="920"/>
        <w:gridCol w:w="1081"/>
        <w:gridCol w:w="1120"/>
      </w:tblGrid>
      <w:tr w:rsidR="00883BE7">
        <w:trPr>
          <w:trHeight w:val="8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序号</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实验名称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主要内容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w:t>
            </w:r>
          </w:p>
          <w:p w:rsidR="00883BE7" w:rsidRDefault="00500300">
            <w:pPr>
              <w:snapToGrid w:val="0"/>
              <w:jc w:val="center"/>
              <w:rPr>
                <w:rFonts w:ascii="宋体" w:hAnsi="宋体"/>
                <w:sz w:val="18"/>
                <w:szCs w:val="18"/>
              </w:rPr>
            </w:pPr>
            <w:r>
              <w:rPr>
                <w:rFonts w:ascii="宋体" w:hAnsi="宋体" w:hint="eastAsia"/>
                <w:sz w:val="18"/>
                <w:szCs w:val="18"/>
              </w:rPr>
              <w:t>时数</w:t>
            </w:r>
          </w:p>
        </w:tc>
        <w:tc>
          <w:tcPr>
            <w:tcW w:w="1081"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实验类型</w:t>
            </w:r>
          </w:p>
        </w:tc>
        <w:tc>
          <w:tcPr>
            <w:tcW w:w="1120"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备注</w:t>
            </w: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1</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自然浪漫风格首饰套件设计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3</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2</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传统古典风格首饰系列设计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3</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装饰艺术与现代简约首饰风格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首饰风格专题设计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当代艺术首饰风格</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5</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设计型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首饰情景专题设计</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时尚情侣款式设计、现代婚庆款式设计</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6</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val="34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6</w:t>
            </w:r>
          </w:p>
        </w:tc>
        <w:tc>
          <w:tcPr>
            <w:tcW w:w="1857"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商业定制专题设计</w:t>
            </w:r>
          </w:p>
        </w:tc>
        <w:tc>
          <w:tcPr>
            <w:tcW w:w="3116" w:type="dxa"/>
            <w:tcBorders>
              <w:top w:val="single" w:sz="4" w:space="0" w:color="auto"/>
              <w:left w:val="single" w:sz="4" w:space="0" w:color="auto"/>
              <w:right w:val="single" w:sz="4" w:space="0" w:color="auto"/>
            </w:tcBorders>
            <w:shd w:val="clear" w:color="auto" w:fill="auto"/>
            <w:vAlign w:val="center"/>
          </w:tcPr>
          <w:p w:rsidR="00883BE7" w:rsidRDefault="00500300">
            <w:pPr>
              <w:spacing w:line="288" w:lineRule="auto"/>
              <w:jc w:val="center"/>
              <w:rPr>
                <w:rFonts w:ascii="宋体" w:hAnsi="宋体"/>
                <w:sz w:val="18"/>
                <w:szCs w:val="18"/>
              </w:rPr>
            </w:pPr>
            <w:r>
              <w:rPr>
                <w:rFonts w:ascii="宋体" w:hAnsi="宋体" w:hint="eastAsia"/>
                <w:sz w:val="18"/>
                <w:szCs w:val="18"/>
              </w:rPr>
              <w:t>高端定制款式、商业款式设计</w:t>
            </w:r>
          </w:p>
        </w:tc>
        <w:tc>
          <w:tcPr>
            <w:tcW w:w="920"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10</w:t>
            </w:r>
          </w:p>
        </w:tc>
        <w:tc>
          <w:tcPr>
            <w:tcW w:w="1081" w:type="dxa"/>
            <w:tcBorders>
              <w:left w:val="single" w:sz="4" w:space="0" w:color="auto"/>
              <w:right w:val="single" w:sz="4" w:space="0" w:color="auto"/>
            </w:tcBorders>
            <w:shd w:val="clear" w:color="auto" w:fill="auto"/>
          </w:tcPr>
          <w:p w:rsidR="00883BE7" w:rsidRDefault="00500300">
            <w:pPr>
              <w:rPr>
                <w:sz w:val="20"/>
                <w:szCs w:val="20"/>
              </w:rPr>
            </w:pPr>
            <w:r>
              <w:rPr>
                <w:rFonts w:hint="eastAsia"/>
                <w:sz w:val="20"/>
                <w:szCs w:val="20"/>
              </w:rPr>
              <w:t>综合型</w:t>
            </w:r>
          </w:p>
        </w:tc>
        <w:tc>
          <w:tcPr>
            <w:tcW w:w="1120" w:type="dxa"/>
            <w:tcBorders>
              <w:left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r w:rsidR="00883BE7">
        <w:trPr>
          <w:trHeight w:hRule="exact" w:val="666"/>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7</w:t>
            </w:r>
          </w:p>
        </w:tc>
        <w:tc>
          <w:tcPr>
            <w:tcW w:w="1857" w:type="dxa"/>
            <w:tcBorders>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综合首饰设计</w:t>
            </w:r>
          </w:p>
        </w:tc>
        <w:tc>
          <w:tcPr>
            <w:tcW w:w="3116" w:type="dxa"/>
            <w:tcBorders>
              <w:left w:val="single" w:sz="4" w:space="0" w:color="auto"/>
              <w:bottom w:val="single" w:sz="4" w:space="0" w:color="auto"/>
              <w:right w:val="single" w:sz="4" w:space="0" w:color="auto"/>
            </w:tcBorders>
            <w:shd w:val="clear" w:color="auto" w:fill="auto"/>
            <w:vAlign w:val="center"/>
          </w:tcPr>
          <w:p w:rsidR="00883BE7" w:rsidRDefault="00500300">
            <w:pPr>
              <w:spacing w:line="288" w:lineRule="auto"/>
              <w:jc w:val="center"/>
              <w:rPr>
                <w:rFonts w:ascii="宋体" w:hAnsi="宋体"/>
                <w:sz w:val="18"/>
                <w:szCs w:val="18"/>
              </w:rPr>
            </w:pPr>
            <w:r>
              <w:rPr>
                <w:rFonts w:ascii="宋体" w:hAnsi="宋体" w:hint="eastAsia"/>
                <w:sz w:val="18"/>
                <w:szCs w:val="18"/>
              </w:rPr>
              <w:t>命题式首饰综合设计</w:t>
            </w:r>
          </w:p>
        </w:tc>
        <w:tc>
          <w:tcPr>
            <w:tcW w:w="920" w:type="dxa"/>
            <w:tcBorders>
              <w:left w:val="single" w:sz="4" w:space="0" w:color="auto"/>
              <w:bottom w:val="single" w:sz="4" w:space="0" w:color="auto"/>
              <w:right w:val="single" w:sz="4" w:space="0" w:color="auto"/>
            </w:tcBorders>
            <w:shd w:val="clear" w:color="auto" w:fill="auto"/>
            <w:vAlign w:val="center"/>
          </w:tcPr>
          <w:p w:rsidR="00883BE7" w:rsidRDefault="0050030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6</w:t>
            </w:r>
          </w:p>
        </w:tc>
        <w:tc>
          <w:tcPr>
            <w:tcW w:w="1081" w:type="dxa"/>
            <w:tcBorders>
              <w:left w:val="single" w:sz="4" w:space="0" w:color="auto"/>
              <w:bottom w:val="single" w:sz="4" w:space="0" w:color="auto"/>
              <w:right w:val="single" w:sz="4" w:space="0" w:color="auto"/>
            </w:tcBorders>
            <w:shd w:val="clear" w:color="auto" w:fill="auto"/>
          </w:tcPr>
          <w:p w:rsidR="00883BE7" w:rsidRDefault="00500300">
            <w:pPr>
              <w:rPr>
                <w:sz w:val="20"/>
                <w:szCs w:val="20"/>
              </w:rPr>
            </w:pPr>
            <w:r>
              <w:rPr>
                <w:rFonts w:hint="eastAsia"/>
                <w:sz w:val="20"/>
                <w:szCs w:val="20"/>
              </w:rPr>
              <w:t>综合型</w:t>
            </w:r>
          </w:p>
        </w:tc>
        <w:tc>
          <w:tcPr>
            <w:tcW w:w="1120" w:type="dxa"/>
            <w:tcBorders>
              <w:left w:val="single" w:sz="4" w:space="0" w:color="auto"/>
              <w:bottom w:val="single" w:sz="4" w:space="0" w:color="auto"/>
              <w:right w:val="single" w:sz="4" w:space="0" w:color="auto"/>
            </w:tcBorders>
            <w:shd w:val="clear" w:color="auto" w:fill="auto"/>
            <w:vAlign w:val="center"/>
          </w:tcPr>
          <w:p w:rsidR="00883BE7" w:rsidRDefault="00883BE7">
            <w:pPr>
              <w:snapToGrid w:val="0"/>
              <w:spacing w:beforeLines="50" w:before="156" w:afterLines="50" w:after="156" w:line="288" w:lineRule="auto"/>
              <w:jc w:val="center"/>
              <w:rPr>
                <w:rFonts w:ascii="宋体" w:hAnsi="宋体"/>
                <w:sz w:val="18"/>
                <w:szCs w:val="18"/>
              </w:rPr>
            </w:pPr>
          </w:p>
        </w:tc>
      </w:tr>
    </w:tbl>
    <w:p w:rsidR="00883BE7" w:rsidRDefault="00883BE7">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83BE7">
        <w:tc>
          <w:tcPr>
            <w:tcW w:w="1809" w:type="dxa"/>
            <w:shd w:val="clear" w:color="auto" w:fill="auto"/>
          </w:tcPr>
          <w:p w:rsidR="00883BE7" w:rsidRDefault="005003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83BE7">
        <w:tc>
          <w:tcPr>
            <w:tcW w:w="1809"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X6</w:t>
            </w:r>
          </w:p>
        </w:tc>
        <w:tc>
          <w:tcPr>
            <w:tcW w:w="5103" w:type="dxa"/>
            <w:shd w:val="clear" w:color="auto" w:fill="auto"/>
          </w:tcPr>
          <w:p w:rsidR="00883BE7" w:rsidRDefault="00500300">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rsidR="00883BE7" w:rsidRDefault="00500300">
      <w:pPr>
        <w:snapToGrid w:val="0"/>
        <w:spacing w:line="288" w:lineRule="auto"/>
        <w:ind w:right="2520" w:firstLineChars="200" w:firstLine="480"/>
        <w:rPr>
          <w:sz w:val="20"/>
          <w:szCs w:val="20"/>
        </w:rPr>
      </w:pPr>
      <w:r>
        <w:rPr>
          <w:rFonts w:ascii="黑体" w:eastAsia="黑体" w:hAnsi="宋体" w:hint="eastAsia"/>
          <w:sz w:val="24"/>
        </w:rPr>
        <w:t>八、评价方式与成绩</w:t>
      </w:r>
    </w:p>
    <w:p w:rsidR="00883BE7" w:rsidRDefault="00883BE7">
      <w:pPr>
        <w:widowControl/>
        <w:spacing w:beforeLines="50" w:before="156" w:afterLines="50" w:after="156" w:line="288" w:lineRule="auto"/>
        <w:jc w:val="left"/>
        <w:rPr>
          <w:rFonts w:ascii="黑体" w:eastAsia="黑体" w:hAnsi="宋体"/>
          <w:sz w:val="24"/>
        </w:rPr>
      </w:pPr>
    </w:p>
    <w:p w:rsidR="00883BE7" w:rsidRDefault="00500300">
      <w:pPr>
        <w:snapToGrid w:val="0"/>
        <w:spacing w:line="288" w:lineRule="auto"/>
        <w:ind w:firstLineChars="300" w:firstLine="840"/>
        <w:rPr>
          <w:sz w:val="28"/>
          <w:szCs w:val="28"/>
        </w:rPr>
      </w:pPr>
      <w:r>
        <w:rPr>
          <w:rFonts w:hint="eastAsia"/>
          <w:sz w:val="28"/>
          <w:szCs w:val="28"/>
        </w:rPr>
        <w:t>撰写人：朱玉</w:t>
      </w:r>
      <w:r>
        <w:rPr>
          <w:rFonts w:hint="eastAsia"/>
          <w:sz w:val="28"/>
          <w:szCs w:val="28"/>
        </w:rPr>
        <w:t xml:space="preserve">                    </w:t>
      </w:r>
      <w:r>
        <w:rPr>
          <w:rFonts w:hint="eastAsia"/>
          <w:sz w:val="28"/>
          <w:szCs w:val="28"/>
        </w:rPr>
        <w:t>系主任审核签名：王琼</w:t>
      </w:r>
    </w:p>
    <w:p w:rsidR="00883BE7" w:rsidRDefault="00500300">
      <w:pPr>
        <w:snapToGrid w:val="0"/>
        <w:spacing w:line="288" w:lineRule="auto"/>
        <w:ind w:firstLineChars="300" w:firstLine="840"/>
        <w:rPr>
          <w:sz w:val="28"/>
          <w:szCs w:val="28"/>
        </w:rPr>
      </w:pPr>
      <w:r>
        <w:rPr>
          <w:rFonts w:hint="eastAsia"/>
          <w:sz w:val="28"/>
          <w:szCs w:val="28"/>
        </w:rPr>
        <w:t>审核时间：</w:t>
      </w:r>
      <w:r>
        <w:rPr>
          <w:rFonts w:hint="eastAsia"/>
          <w:sz w:val="28"/>
          <w:szCs w:val="28"/>
        </w:rPr>
        <w:t>201</w:t>
      </w:r>
      <w:r w:rsidR="009C2CA1">
        <w:rPr>
          <w:sz w:val="28"/>
          <w:szCs w:val="28"/>
        </w:rPr>
        <w:t>9</w:t>
      </w:r>
      <w:r>
        <w:rPr>
          <w:rFonts w:hint="eastAsia"/>
          <w:sz w:val="28"/>
          <w:szCs w:val="28"/>
        </w:rPr>
        <w:t>年</w:t>
      </w:r>
      <w:r w:rsidR="009C2CA1">
        <w:rPr>
          <w:sz w:val="28"/>
          <w:szCs w:val="28"/>
        </w:rPr>
        <w:t>2</w:t>
      </w:r>
      <w:r>
        <w:rPr>
          <w:rFonts w:hint="eastAsia"/>
          <w:sz w:val="28"/>
          <w:szCs w:val="28"/>
        </w:rPr>
        <w:t>月</w:t>
      </w:r>
      <w:r w:rsidR="009C2CA1">
        <w:rPr>
          <w:sz w:val="28"/>
          <w:szCs w:val="28"/>
        </w:rPr>
        <w:t>27</w:t>
      </w:r>
      <w:bookmarkStart w:id="1" w:name="_GoBack"/>
      <w:bookmarkEnd w:id="1"/>
      <w:r>
        <w:rPr>
          <w:rFonts w:hint="eastAsia"/>
          <w:sz w:val="28"/>
          <w:szCs w:val="28"/>
        </w:rPr>
        <w:t>日</w:t>
      </w:r>
    </w:p>
    <w:sectPr w:rsidR="00883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1072BC"/>
    <w:rsid w:val="001433D5"/>
    <w:rsid w:val="001948AD"/>
    <w:rsid w:val="00196B6C"/>
    <w:rsid w:val="001A5DFB"/>
    <w:rsid w:val="0025152F"/>
    <w:rsid w:val="00256B39"/>
    <w:rsid w:val="0026033C"/>
    <w:rsid w:val="002E3721"/>
    <w:rsid w:val="00313BBA"/>
    <w:rsid w:val="0032602E"/>
    <w:rsid w:val="003367AE"/>
    <w:rsid w:val="003821CA"/>
    <w:rsid w:val="003B1258"/>
    <w:rsid w:val="004100B0"/>
    <w:rsid w:val="00500300"/>
    <w:rsid w:val="00535BFD"/>
    <w:rsid w:val="005467DC"/>
    <w:rsid w:val="00553D03"/>
    <w:rsid w:val="005B2B6D"/>
    <w:rsid w:val="005B4B4E"/>
    <w:rsid w:val="005F32DF"/>
    <w:rsid w:val="00615682"/>
    <w:rsid w:val="00624FE1"/>
    <w:rsid w:val="006F59C8"/>
    <w:rsid w:val="00707051"/>
    <w:rsid w:val="007208D6"/>
    <w:rsid w:val="007E3C3B"/>
    <w:rsid w:val="008735D6"/>
    <w:rsid w:val="00883BE7"/>
    <w:rsid w:val="008B397C"/>
    <w:rsid w:val="008B47F4"/>
    <w:rsid w:val="00900019"/>
    <w:rsid w:val="0099063E"/>
    <w:rsid w:val="009C2CA1"/>
    <w:rsid w:val="00A769B1"/>
    <w:rsid w:val="00AC4C45"/>
    <w:rsid w:val="00AD448D"/>
    <w:rsid w:val="00AE16C8"/>
    <w:rsid w:val="00AF5AB5"/>
    <w:rsid w:val="00B0002B"/>
    <w:rsid w:val="00B46F21"/>
    <w:rsid w:val="00B511A5"/>
    <w:rsid w:val="00B736A7"/>
    <w:rsid w:val="00B7651F"/>
    <w:rsid w:val="00BD437B"/>
    <w:rsid w:val="00C56E09"/>
    <w:rsid w:val="00CB5247"/>
    <w:rsid w:val="00CF096B"/>
    <w:rsid w:val="00D768C4"/>
    <w:rsid w:val="00E027FC"/>
    <w:rsid w:val="00E15860"/>
    <w:rsid w:val="00E16D30"/>
    <w:rsid w:val="00E33169"/>
    <w:rsid w:val="00E70904"/>
    <w:rsid w:val="00EB056B"/>
    <w:rsid w:val="00EF44B1"/>
    <w:rsid w:val="00F35AA0"/>
    <w:rsid w:val="024B0C39"/>
    <w:rsid w:val="0A8128A6"/>
    <w:rsid w:val="0BF32A1B"/>
    <w:rsid w:val="10BD2C22"/>
    <w:rsid w:val="22987C80"/>
    <w:rsid w:val="24192CCC"/>
    <w:rsid w:val="2B5E377F"/>
    <w:rsid w:val="39A66CD4"/>
    <w:rsid w:val="3CD52CE1"/>
    <w:rsid w:val="3DFB2C1E"/>
    <w:rsid w:val="410F2E6A"/>
    <w:rsid w:val="4430136C"/>
    <w:rsid w:val="4AB0382B"/>
    <w:rsid w:val="569868B5"/>
    <w:rsid w:val="611F6817"/>
    <w:rsid w:val="66CA1754"/>
    <w:rsid w:val="6F1E65D4"/>
    <w:rsid w:val="6F266C86"/>
    <w:rsid w:val="6F5042C2"/>
    <w:rsid w:val="74316312"/>
    <w:rsid w:val="770E5367"/>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422C"/>
  <w15:docId w15:val="{D2599C6A-177A-42BA-85EF-B6149BF2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Pr>
      <w:color w:val="0000FF" w:themeColor="hyperlink"/>
      <w:u w:val="single"/>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learning.gench.edu.cn:8443/webapps/portal/execute/tabs/tabAction?tab_tab_group_id=_1_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518</Words>
  <Characters>2958</Characters>
  <Application>Microsoft Office Word</Application>
  <DocSecurity>0</DocSecurity>
  <Lines>24</Lines>
  <Paragraphs>6</Paragraphs>
  <ScaleCrop>false</ScaleCrop>
  <Company>MS</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5</cp:revision>
  <dcterms:created xsi:type="dcterms:W3CDTF">2018-01-06T14:47:00Z</dcterms:created>
  <dcterms:modified xsi:type="dcterms:W3CDTF">2019-02-14T18:05:00Z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