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rPr>
      </w:pPr>
    </w:p>
    <w:p>
      <w:pPr>
        <w:pStyle w:val="2"/>
      </w:pPr>
      <w:bookmarkStart w:id="0" w:name="_Toc29260"/>
      <w:bookmarkStart w:id="1" w:name="_Toc23489"/>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rPr>
        <w:t>【珠宝现代检测技术】</w:t>
      </w:r>
      <w:bookmarkEnd w:id="0"/>
      <w:bookmarkEnd w:id="1"/>
    </w:p>
    <w:p>
      <w:pPr>
        <w:pStyle w:val="2"/>
      </w:pPr>
      <w:bookmarkStart w:id="2" w:name="_Toc3572"/>
      <w:bookmarkStart w:id="3" w:name="_Toc21125"/>
      <w:r>
        <w:rPr>
          <w:rFonts w:hint="eastAsia"/>
        </w:rPr>
        <w:t>【Modern Detection Technology of Jewelry】</w:t>
      </w:r>
      <w:bookmarkEnd w:id="2"/>
      <w:bookmarkEnd w:id="3"/>
    </w:p>
    <w:p>
      <w:pPr>
        <w:pStyle w:val="3"/>
      </w:pPr>
      <w:r>
        <w:t>一</w:t>
      </w:r>
      <w:r>
        <w:rPr>
          <w:rFonts w:hint="eastAsia"/>
        </w:rPr>
        <w:t>、</w:t>
      </w:r>
      <w:r>
        <w:t>基本信息</w:t>
      </w:r>
    </w:p>
    <w:p>
      <w:r>
        <w:rPr>
          <w:b/>
          <w:bCs/>
        </w:rPr>
        <w:t>课程代码：</w:t>
      </w:r>
      <w:r>
        <w:t>【</w:t>
      </w:r>
      <w:r>
        <w:rPr>
          <w:rFonts w:hint="eastAsia"/>
        </w:rPr>
        <w:t>2120045</w:t>
      </w:r>
      <w:r>
        <w:t>】</w:t>
      </w:r>
    </w:p>
    <w:p>
      <w:r>
        <w:rPr>
          <w:b/>
          <w:bCs/>
        </w:rPr>
        <w:t>课程学分：</w:t>
      </w:r>
      <w:r>
        <w:t>【</w:t>
      </w:r>
      <w:r>
        <w:rPr>
          <w:rFonts w:hint="eastAsia"/>
        </w:rPr>
        <w:t>3</w:t>
      </w:r>
      <w:r>
        <w:t>】</w:t>
      </w:r>
    </w:p>
    <w:p>
      <w:r>
        <w:rPr>
          <w:b/>
          <w:bCs/>
        </w:rPr>
        <w:t>面向专业：</w:t>
      </w:r>
      <w:r>
        <w:t>【</w:t>
      </w:r>
      <w:r>
        <w:rPr>
          <w:rFonts w:hint="eastAsia"/>
        </w:rPr>
        <w:t>宝石及材料工艺学</w:t>
      </w:r>
      <w:r>
        <w:t>】</w:t>
      </w:r>
    </w:p>
    <w:p>
      <w:r>
        <w:rPr>
          <w:b/>
          <w:bCs/>
        </w:rPr>
        <w:t>课程性质：</w:t>
      </w:r>
      <w:r>
        <w:t>【</w:t>
      </w:r>
      <w:r>
        <w:rPr>
          <w:rFonts w:hint="eastAsia"/>
        </w:rPr>
        <w:t>系级专业必修课◎</w:t>
      </w:r>
      <w:r>
        <w:t>】</w:t>
      </w:r>
    </w:p>
    <w:p>
      <w:r>
        <w:rPr>
          <w:b/>
          <w:bCs/>
        </w:rPr>
        <w:t>开课院系：</w:t>
      </w:r>
      <w:r>
        <w:rPr>
          <w:rFonts w:hint="eastAsia"/>
        </w:rPr>
        <w:t>珠宝学院宝石及材料工艺学专业</w:t>
      </w:r>
    </w:p>
    <w:p>
      <w:r>
        <w:rPr>
          <w:b/>
          <w:bCs/>
        </w:rPr>
        <w:t>使用教材：</w:t>
      </w:r>
    </w:p>
    <w:p>
      <w:r>
        <w:t>教材【</w:t>
      </w:r>
      <w:r>
        <w:rPr>
          <w:rFonts w:hint="eastAsia"/>
        </w:rPr>
        <w:t>《珠宝鉴定仪器及图谱分析》，奚波编著，化学工业出版社，2015.9</w:t>
      </w:r>
      <w:r>
        <w:t>】</w:t>
      </w:r>
    </w:p>
    <w:p>
      <w:r>
        <w:rPr>
          <w:rFonts w:hint="eastAsia"/>
        </w:rPr>
        <w:t>参考书目【《材料研究方法》，王培铭等编著，科学出版社 2003.1</w:t>
      </w:r>
    </w:p>
    <w:p>
      <w:r>
        <w:rPr>
          <w:rFonts w:hint="eastAsia"/>
        </w:rPr>
        <w:t xml:space="preserve">         《宝玉石鉴定与检测技术》，姚凤良等编著，云南科学技术出版社 2006.2</w:t>
      </w:r>
    </w:p>
    <w:p>
      <w:r>
        <w:rPr>
          <w:rFonts w:hint="eastAsia"/>
        </w:rPr>
        <w:t>《傅里叶变换红外光谱分析(第3版) 》，翁诗甫,徐怡庄编著，2016.4 】</w:t>
      </w:r>
    </w:p>
    <w:p>
      <w:pPr>
        <w:rPr>
          <w:b/>
          <w:bCs/>
        </w:rPr>
      </w:pPr>
      <w:r>
        <w:rPr>
          <w:rFonts w:hint="eastAsia"/>
          <w:b/>
          <w:bCs/>
        </w:rPr>
        <w:t>课程网站网址：</w:t>
      </w:r>
    </w:p>
    <w:p>
      <w:r>
        <w:rPr>
          <w:rFonts w:hint="eastAsia"/>
        </w:rPr>
        <w:t>https://elearning.gench.edu.cn:8443/webapps/blackboard/execute/modulepage/view?course_id=_5777_1&amp;cmp_tab_id=_6057_1&amp;editMode=true&amp;mode=cpview</w:t>
      </w:r>
    </w:p>
    <w:p>
      <w:r>
        <w:rPr>
          <w:b/>
          <w:bCs/>
        </w:rPr>
        <w:t>先修课程：</w:t>
      </w:r>
      <w:r>
        <w:t>【</w:t>
      </w:r>
      <w:r>
        <w:rPr>
          <w:rFonts w:hint="eastAsia"/>
        </w:rPr>
        <w:t>宝石鉴定 2040016（6）；</w:t>
      </w:r>
    </w:p>
    <w:p>
      <w:r>
        <w:rPr>
          <w:rFonts w:hint="eastAsia"/>
        </w:rPr>
        <w:t xml:space="preserve">           钻石和钻石分级 2040129 （5）；</w:t>
      </w:r>
    </w:p>
    <w:p>
      <w:r>
        <w:rPr>
          <w:rFonts w:hint="eastAsia"/>
        </w:rPr>
        <w:t xml:space="preserve">           宝石学 2040020 （4）</w:t>
      </w:r>
      <w:r>
        <w:t>】</w:t>
      </w:r>
    </w:p>
    <w:p>
      <w:pPr>
        <w:pStyle w:val="3"/>
      </w:pPr>
      <w:r>
        <w:t>二</w:t>
      </w:r>
      <w:r>
        <w:rPr>
          <w:rFonts w:hint="eastAsia"/>
        </w:rPr>
        <w:t>、</w:t>
      </w:r>
      <w:r>
        <w:t>课程简介</w:t>
      </w:r>
    </w:p>
    <w:p>
      <w:r>
        <w:rPr>
          <w:rFonts w:hint="eastAsia"/>
        </w:rPr>
        <w:t>目前我国的宝石行业从业人员的检测珠宝新型优化处理、解决疑难问题与制定珠宝标准这些问题上与国际发达国家有较大差距。此门课服务于即将毕业、有志从业于国内外珠宝检测机构、国内外珠宝企业的内检部门、考研深造的高年级的学生。本课程旨于介绍给学生当下国际上珠宝非常规的检测的解决思路、介绍宝石高阶鉴定中的现代大型仪器的原理、性质、使用与结果分析。本课程内容主要包括珠宝现代检测仪器如红外光谱仪、Raman光谱仪、紫外可见吸收光谱仪、X射线衍射分析仪、扫描电镜、电子探针和差热分析仪等的基本原理、仪器设备组成、样品制备及操作注意事项等。重点介绍上述常见几种大型仪器所测得的谱图与数据的解析方法，以及在宝玉石检测上的应用。</w:t>
      </w:r>
    </w:p>
    <w:p>
      <w:pPr>
        <w:pStyle w:val="3"/>
      </w:pPr>
      <w:r>
        <w:t>三</w:t>
      </w:r>
      <w:r>
        <w:rPr>
          <w:rFonts w:hint="eastAsia"/>
        </w:rPr>
        <w:t>、</w:t>
      </w:r>
      <w:r>
        <w:t>选课建议</w:t>
      </w:r>
    </w:p>
    <w:p>
      <w:r>
        <w:rPr>
          <w:rFonts w:hint="eastAsia"/>
        </w:rPr>
        <w:t>本课程适于宝石材料及工艺学专业本科学生三年级第二学期学习，是该专业的一门系级必修课。学习本课程的学生应具备宝石地质基础、结晶学、矿物学、晶体光学、宝石学和宝石鉴定等基础知识。</w:t>
      </w:r>
    </w:p>
    <w:p>
      <w:pPr>
        <w:pStyle w:val="3"/>
      </w:pPr>
      <w:r>
        <w:t>四</w:t>
      </w:r>
      <w:r>
        <w:rPr>
          <w:rFonts w:hint="eastAsia"/>
        </w:rPr>
        <w:t>、</w:t>
      </w:r>
      <w:r>
        <w:t>课程与</w:t>
      </w:r>
      <w:r>
        <w:rPr>
          <w:rFonts w:hint="eastAsia"/>
        </w:rPr>
        <w:t>专业毕业要求</w:t>
      </w:r>
      <w:r>
        <w:t>的关联性</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7"/>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pPr>
              <w:jc w:val="center"/>
              <w:rPr>
                <w:b/>
                <w:bCs/>
              </w:rPr>
            </w:pPr>
            <w:r>
              <w:rPr>
                <w:rFonts w:hint="eastAsia"/>
                <w:b/>
                <w:bCs/>
              </w:rPr>
              <w:t>专业毕业要求</w:t>
            </w:r>
          </w:p>
        </w:tc>
        <w:tc>
          <w:tcPr>
            <w:tcW w:w="830" w:type="pct"/>
            <w:vAlign w:val="center"/>
          </w:tcPr>
          <w:p>
            <w:pPr>
              <w:jc w:val="center"/>
              <w:rPr>
                <w:b/>
                <w:bCs/>
              </w:rPr>
            </w:pPr>
            <w:r>
              <w:rPr>
                <w:rFonts w:hint="eastAsia"/>
                <w:b/>
                <w:bCs/>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LO11：理解他人的观点和鉴定、鉴别要求，并能够清晰流畅的表达自己的鉴定思路和工作构想。能在不同场合用书面、口头或数据图表及宝石、矿物样本形式进行有效的双向沟通。</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21：学生能根据自身需要和岗位需求，结合社会背景下，新知识、新技术、新器械、新材料的发展趋势，确定自己的学习目标，并主动自觉地通过搜集、分析信息、讨论、实践、质疑、创造等方法来实现学习目标。</w:t>
            </w:r>
          </w:p>
        </w:tc>
        <w:tc>
          <w:tcPr>
            <w:tcW w:w="830" w:type="pct"/>
            <w:vAlign w:val="center"/>
          </w:tcPr>
          <w:p>
            <w:pPr>
              <w:jc w:val="center"/>
            </w:pPr>
            <w:r>
              <w:rPr/>
              <w:sym w:font="Wingdings 2" w:char="F098"/>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LO31：掌握设计和审美的基本理论与基本知识；具备设计能力和审美素养。</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LO32：掌握珠宝首饰加工技能和工艺的基本理论知识</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LO33：掌握珠宝玉石材料的性质和用途，掌握珠宝鉴定的基本理论知识，具备珠宝玉石材料的识别鉴定能力。</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LO34：掌握珠宝鉴定常规仪器、大型仪器的基本原理和操作，利用仪器能够准确鉴别珠宝玉石。</w:t>
            </w:r>
          </w:p>
        </w:tc>
        <w:tc>
          <w:tcPr>
            <w:tcW w:w="830" w:type="pct"/>
            <w:vAlign w:val="center"/>
          </w:tcPr>
          <w:p>
            <w:pPr>
              <w:jc w:val="center"/>
            </w:pPr>
            <w:r>
              <w:rPr/>
              <w:sym w:font="Wingdings 2" w:char="F098"/>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LO41：遵守纪律、守信守责；具有耐挫折、抗压力的能力，并能够顺利完成相应地工作学习任务。</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LO51：同工作学习伙伴保持良好的关系，团结互助、齐心协力，做团队或集体中的积极成员；善于从多个维度思考问题，善于利用自己掌握的知识与技能，在工作实践中提出新颖的构思和设想。</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LO61：具备信息素养和运用科技信息技术的能力，并能熟练操作各项办公软件和图像、图形处理软件。</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LO71：愿意服务他人、服务企业、服务社会；为人热忱，富于爱心，懂得感恩，甘于奉献。</w:t>
            </w:r>
          </w:p>
        </w:tc>
        <w:tc>
          <w:tcPr>
            <w:tcW w:w="830" w:type="pct"/>
            <w:vAlign w:val="center"/>
          </w:tcPr>
          <w:p>
            <w:pPr>
              <w:jc w:val="center"/>
            </w:pPr>
            <w:r>
              <w:rPr/>
              <w:sym w:font="Wingdings 2" w:char="F098"/>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LO81：具备外语能力，能够阅读外文专业图书和资料，同时对专业范围中跨语言跨文化的内容具有理解能力，有国际竞争与合作的意识。</w:t>
            </w:r>
          </w:p>
        </w:tc>
        <w:tc>
          <w:tcPr>
            <w:tcW w:w="830" w:type="pct"/>
            <w:vAlign w:val="center"/>
          </w:tcPr>
          <w:p>
            <w:pPr>
              <w:jc w:val="center"/>
            </w:pPr>
          </w:p>
        </w:tc>
      </w:tr>
    </w:tbl>
    <w:p>
      <w:pPr>
        <w:pStyle w:val="3"/>
      </w:pPr>
      <w:r>
        <w:rPr>
          <w:rFonts w:hint="eastAsia"/>
        </w:rPr>
        <w:t>五、</w:t>
      </w:r>
      <w:r>
        <w:t>课程</w:t>
      </w:r>
      <w:r>
        <w:rPr>
          <w:rFonts w:hint="eastAsia"/>
        </w:rPr>
        <w:t>目标/课程预期学习成果</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1141"/>
        <w:gridCol w:w="4395"/>
        <w:gridCol w:w="133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Align w:val="center"/>
          </w:tcPr>
          <w:p>
            <w:pPr>
              <w:jc w:val="center"/>
              <w:rPr>
                <w:b/>
                <w:bCs/>
              </w:rPr>
            </w:pPr>
            <w:r>
              <w:rPr>
                <w:rFonts w:hint="eastAsia"/>
                <w:b/>
                <w:bCs/>
              </w:rPr>
              <w:t>序号</w:t>
            </w:r>
          </w:p>
        </w:tc>
        <w:tc>
          <w:tcPr>
            <w:tcW w:w="669" w:type="pct"/>
            <w:vAlign w:val="center"/>
          </w:tcPr>
          <w:p>
            <w:pPr>
              <w:jc w:val="center"/>
              <w:rPr>
                <w:b/>
                <w:bCs/>
              </w:rPr>
            </w:pPr>
            <w:r>
              <w:rPr>
                <w:rFonts w:hint="eastAsia"/>
                <w:b/>
                <w:bCs/>
              </w:rPr>
              <w:t>课程预期</w:t>
            </w:r>
          </w:p>
          <w:p>
            <w:pPr>
              <w:jc w:val="center"/>
              <w:rPr>
                <w:b/>
                <w:bCs/>
              </w:rPr>
            </w:pPr>
            <w:r>
              <w:rPr>
                <w:rFonts w:hint="eastAsia"/>
                <w:b/>
                <w:bCs/>
              </w:rPr>
              <w:t>学习成果</w:t>
            </w:r>
          </w:p>
        </w:tc>
        <w:tc>
          <w:tcPr>
            <w:tcW w:w="2578" w:type="pct"/>
            <w:vAlign w:val="center"/>
          </w:tcPr>
          <w:p>
            <w:pPr>
              <w:jc w:val="center"/>
              <w:rPr>
                <w:b/>
                <w:bCs/>
              </w:rPr>
            </w:pPr>
            <w:r>
              <w:rPr>
                <w:rFonts w:hint="eastAsia"/>
                <w:b/>
                <w:bCs/>
              </w:rPr>
              <w:t>课程目标</w:t>
            </w:r>
          </w:p>
        </w:tc>
        <w:tc>
          <w:tcPr>
            <w:tcW w:w="783" w:type="pct"/>
            <w:vAlign w:val="center"/>
          </w:tcPr>
          <w:p>
            <w:pPr>
              <w:jc w:val="center"/>
              <w:rPr>
                <w:b/>
                <w:bCs/>
              </w:rPr>
            </w:pPr>
            <w:r>
              <w:rPr>
                <w:rFonts w:hint="eastAsia"/>
                <w:b/>
                <w:bCs/>
              </w:rPr>
              <w:t>教与学方式</w:t>
            </w:r>
          </w:p>
        </w:tc>
        <w:tc>
          <w:tcPr>
            <w:tcW w:w="717" w:type="pct"/>
            <w:vAlign w:val="center"/>
          </w:tcPr>
          <w:p>
            <w:pPr>
              <w:jc w:val="center"/>
              <w:rPr>
                <w:b/>
                <w:bCs/>
              </w:rPr>
            </w:pPr>
            <w:r>
              <w:rPr>
                <w:rFonts w:hint="eastAsia"/>
                <w:b/>
                <w:bCs/>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Align w:val="center"/>
          </w:tcPr>
          <w:p>
            <w:pPr>
              <w:jc w:val="center"/>
            </w:pPr>
            <w:r>
              <w:rPr>
                <w:rFonts w:hint="eastAsia"/>
              </w:rPr>
              <w:t>1</w:t>
            </w:r>
          </w:p>
        </w:tc>
        <w:tc>
          <w:tcPr>
            <w:tcW w:w="669" w:type="pct"/>
            <w:vAlign w:val="center"/>
          </w:tcPr>
          <w:p>
            <w:pPr>
              <w:jc w:val="center"/>
            </w:pPr>
            <w:r>
              <w:rPr>
                <w:rFonts w:hint="eastAsia"/>
              </w:rPr>
              <w:t>LO212</w:t>
            </w:r>
          </w:p>
        </w:tc>
        <w:tc>
          <w:tcPr>
            <w:tcW w:w="2578" w:type="pct"/>
            <w:vAlign w:val="center"/>
          </w:tcPr>
          <w:p>
            <w:r>
              <w:rPr>
                <w:rFonts w:hint="eastAsia"/>
              </w:rPr>
              <w:t>学生能主动搜集关于鉴定仿制宝石、合成宝石、优化处理宝石的最新检测技术，归纳不同大型仪器的检测宝石品种与条件。讨论分析书本、文献与网络中宝石检测数据的准确性。</w:t>
            </w:r>
          </w:p>
        </w:tc>
        <w:tc>
          <w:tcPr>
            <w:tcW w:w="783" w:type="pct"/>
            <w:vAlign w:val="center"/>
          </w:tcPr>
          <w:p>
            <w:pPr>
              <w:jc w:val="center"/>
            </w:pPr>
            <w:r>
              <w:rPr>
                <w:rFonts w:hint="eastAsia"/>
              </w:rPr>
              <w:t>讨论教学法</w:t>
            </w:r>
          </w:p>
        </w:tc>
        <w:tc>
          <w:tcPr>
            <w:tcW w:w="717" w:type="pct"/>
            <w:vAlign w:val="center"/>
          </w:tcPr>
          <w:p>
            <w:pPr>
              <w:jc w:val="center"/>
            </w:pPr>
            <w:r>
              <w:rPr>
                <w:rFonts w:hint="eastAsia"/>
              </w:rPr>
              <w:t>观察评价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Merge w:val="restart"/>
            <w:vAlign w:val="center"/>
          </w:tcPr>
          <w:p>
            <w:pPr>
              <w:jc w:val="center"/>
            </w:pPr>
            <w:r>
              <w:rPr>
                <w:rFonts w:hint="eastAsia"/>
              </w:rPr>
              <w:t>2</w:t>
            </w:r>
          </w:p>
        </w:tc>
        <w:tc>
          <w:tcPr>
            <w:tcW w:w="669" w:type="pct"/>
            <w:vMerge w:val="restart"/>
            <w:vAlign w:val="center"/>
          </w:tcPr>
          <w:p>
            <w:pPr>
              <w:jc w:val="center"/>
            </w:pPr>
            <w:r>
              <w:rPr>
                <w:rFonts w:hint="eastAsia"/>
              </w:rPr>
              <w:t>LO34</w:t>
            </w:r>
          </w:p>
        </w:tc>
        <w:tc>
          <w:tcPr>
            <w:tcW w:w="2578" w:type="pct"/>
            <w:vAlign w:val="center"/>
          </w:tcPr>
          <w:p>
            <w:r>
              <w:rPr>
                <w:rFonts w:hint="eastAsia"/>
              </w:rPr>
              <w:t>1.学生像珠宝鉴定师一样有熟悉珠宝鉴定大型仪器的基本原理和操作。</w:t>
            </w:r>
          </w:p>
        </w:tc>
        <w:tc>
          <w:tcPr>
            <w:tcW w:w="783" w:type="pct"/>
            <w:vAlign w:val="center"/>
          </w:tcPr>
          <w:p>
            <w:pPr>
              <w:jc w:val="center"/>
            </w:pPr>
            <w:r>
              <w:rPr>
                <w:rFonts w:hint="eastAsia"/>
              </w:rPr>
              <w:t>探究教学法</w:t>
            </w:r>
          </w:p>
        </w:tc>
        <w:tc>
          <w:tcPr>
            <w:tcW w:w="717" w:type="pct"/>
            <w:vAlign w:val="center"/>
          </w:tcPr>
          <w:p>
            <w:pPr>
              <w:jc w:val="center"/>
            </w:pPr>
            <w:r>
              <w:rPr>
                <w:rFonts w:hint="eastAsia"/>
              </w:rPr>
              <w:t>纸笔测试评价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Merge w:val="continue"/>
            <w:vAlign w:val="center"/>
          </w:tcPr>
          <w:p>
            <w:pPr>
              <w:jc w:val="center"/>
            </w:pPr>
          </w:p>
        </w:tc>
        <w:tc>
          <w:tcPr>
            <w:tcW w:w="669" w:type="pct"/>
            <w:vMerge w:val="continue"/>
            <w:vAlign w:val="center"/>
          </w:tcPr>
          <w:p>
            <w:pPr>
              <w:jc w:val="center"/>
            </w:pPr>
          </w:p>
        </w:tc>
        <w:tc>
          <w:tcPr>
            <w:tcW w:w="2578" w:type="pct"/>
            <w:vAlign w:val="center"/>
          </w:tcPr>
          <w:p>
            <w:r>
              <w:rPr>
                <w:rFonts w:hint="eastAsia"/>
              </w:rPr>
              <w:t>2.学生像珠宝鉴定师一样在遇到未知宝玉石时，能够有清晰鉴定逻辑，利用各种仪器能够准确鉴别珠宝玉石。</w:t>
            </w:r>
          </w:p>
        </w:tc>
        <w:tc>
          <w:tcPr>
            <w:tcW w:w="783" w:type="pct"/>
            <w:vAlign w:val="center"/>
          </w:tcPr>
          <w:p>
            <w:pPr>
              <w:jc w:val="center"/>
            </w:pPr>
            <w:r>
              <w:rPr>
                <w:rFonts w:hint="eastAsia"/>
              </w:rPr>
              <w:t>合作学习教学法</w:t>
            </w:r>
          </w:p>
        </w:tc>
        <w:tc>
          <w:tcPr>
            <w:tcW w:w="717" w:type="pct"/>
            <w:vAlign w:val="center"/>
          </w:tcPr>
          <w:p>
            <w:pPr>
              <w:jc w:val="center"/>
            </w:pPr>
            <w:r>
              <w:rPr>
                <w:rFonts w:hint="eastAsia"/>
              </w:rPr>
              <w:t>纸笔测试评价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Align w:val="center"/>
          </w:tcPr>
          <w:p>
            <w:pPr>
              <w:jc w:val="center"/>
            </w:pPr>
            <w:r>
              <w:rPr>
                <w:rFonts w:hint="eastAsia"/>
              </w:rPr>
              <w:t>3</w:t>
            </w:r>
          </w:p>
        </w:tc>
        <w:tc>
          <w:tcPr>
            <w:tcW w:w="669" w:type="pct"/>
            <w:vAlign w:val="center"/>
          </w:tcPr>
          <w:p>
            <w:pPr>
              <w:jc w:val="center"/>
            </w:pPr>
            <w:r>
              <w:rPr>
                <w:rFonts w:hint="eastAsia"/>
              </w:rPr>
              <w:t>LO712</w:t>
            </w:r>
          </w:p>
        </w:tc>
        <w:tc>
          <w:tcPr>
            <w:tcW w:w="2578" w:type="pct"/>
            <w:vAlign w:val="center"/>
          </w:tcPr>
          <w:p>
            <w:r>
              <w:rPr>
                <w:rFonts w:hint="eastAsia"/>
              </w:rPr>
              <w:t>学生乐于帮助社会消费者鉴定宝石真假，拥有为大众普及珠宝鉴定知识的责任心。</w:t>
            </w:r>
          </w:p>
        </w:tc>
        <w:tc>
          <w:tcPr>
            <w:tcW w:w="783" w:type="pct"/>
            <w:vAlign w:val="center"/>
          </w:tcPr>
          <w:p>
            <w:pPr>
              <w:jc w:val="center"/>
            </w:pPr>
            <w:r>
              <w:rPr>
                <w:rFonts w:hint="eastAsia"/>
              </w:rPr>
              <w:t>问题本位教学法</w:t>
            </w:r>
          </w:p>
        </w:tc>
        <w:tc>
          <w:tcPr>
            <w:tcW w:w="717" w:type="pct"/>
            <w:vAlign w:val="center"/>
          </w:tcPr>
          <w:p>
            <w:pPr>
              <w:jc w:val="center"/>
            </w:pPr>
            <w:r>
              <w:rPr>
                <w:rFonts w:hint="eastAsia"/>
              </w:rPr>
              <w:t>观察评价</w:t>
            </w:r>
          </w:p>
          <w:p>
            <w:pPr>
              <w:jc w:val="center"/>
            </w:pPr>
            <w:r>
              <w:rPr>
                <w:rFonts w:hint="eastAsia"/>
              </w:rPr>
              <w:t>实作评价</w:t>
            </w:r>
          </w:p>
        </w:tc>
      </w:tr>
    </w:tbl>
    <w:p>
      <w:pPr>
        <w:pStyle w:val="3"/>
      </w:pPr>
      <w:r>
        <w:rPr>
          <w:rFonts w:hint="eastAsia"/>
        </w:rPr>
        <w:t>六、课程内容</w:t>
      </w:r>
    </w:p>
    <w:p>
      <w:r>
        <w:rPr>
          <w:rFonts w:hint="eastAsia"/>
        </w:rPr>
        <w:t>本课程总课时48课时，其中理论32课时，实践16课时</w:t>
      </w:r>
    </w:p>
    <w:p>
      <w:pPr>
        <w:outlineLvl w:val="0"/>
      </w:pPr>
      <w:bookmarkStart w:id="4" w:name="_Toc4450"/>
      <w:bookmarkStart w:id="5" w:name="_Toc171"/>
      <w:r>
        <w:rPr>
          <w:rFonts w:hint="eastAsia"/>
        </w:rPr>
        <w:t>第一单元 绪论（理论2课时 实践0课时）</w:t>
      </w:r>
      <w:bookmarkEnd w:id="4"/>
      <w:bookmarkEnd w:id="5"/>
    </w:p>
    <w:p>
      <w:r>
        <w:rPr>
          <w:rFonts w:hint="eastAsia"/>
        </w:rPr>
        <w:t>知识点：珠宝检测技术的大型仪器的种类与分类及重要性</w:t>
      </w:r>
    </w:p>
    <w:p>
      <w:r>
        <w:rPr>
          <w:rFonts w:hint="eastAsia"/>
        </w:rPr>
        <w:t>能力要求：学生了解材料研究的意义和内容；学生熟悉材料结构和研究方法的分类</w:t>
      </w:r>
    </w:p>
    <w:p>
      <w:r>
        <w:rPr>
          <w:rFonts w:hint="eastAsia"/>
        </w:rPr>
        <w:t>教学难点：大型仪器的分类</w:t>
      </w:r>
    </w:p>
    <w:p>
      <w:pPr>
        <w:outlineLvl w:val="0"/>
      </w:pPr>
      <w:bookmarkStart w:id="6" w:name="_Toc2016"/>
      <w:bookmarkStart w:id="7" w:name="_Toc14918"/>
      <w:r>
        <w:rPr>
          <w:rFonts w:hint="eastAsia"/>
        </w:rPr>
        <w:t>第二单元 光谱类仪器测试与分析（理论12课时 实践8课时）</w:t>
      </w:r>
      <w:bookmarkEnd w:id="6"/>
      <w:bookmarkEnd w:id="7"/>
    </w:p>
    <w:p>
      <w:r>
        <w:rPr>
          <w:rFonts w:hint="eastAsia"/>
        </w:rPr>
        <w:t>知识点: 紫外-可见光光谱仪、红外光谱仪与激光拉曼光谱仪的原理、结构、操作与结果分析</w:t>
      </w:r>
    </w:p>
    <w:p>
      <w:r>
        <w:rPr>
          <w:rFonts w:hint="eastAsia"/>
        </w:rPr>
        <w:t>能力要求：学生了解紫外光谱、红外光谱和激光拉曼散射光谱的仪器结构、原理及样品制备；学生掌握紫外光谱、红外光谱和激光拉曼散射光谱法的曲线特点及数据分析；学生理解紫外光谱、红外光谱和激光拉曼散射光谱法的应用</w:t>
      </w:r>
    </w:p>
    <w:p>
      <w:r>
        <w:rPr>
          <w:rFonts w:hint="eastAsia"/>
        </w:rPr>
        <w:t>教学难点：各种光谱类仪器的使用目的与光谱解析</w:t>
      </w:r>
    </w:p>
    <w:p>
      <w:pPr>
        <w:outlineLvl w:val="0"/>
      </w:pPr>
      <w:bookmarkStart w:id="8" w:name="_Toc3873"/>
      <w:bookmarkStart w:id="9" w:name="_Toc22037"/>
      <w:r>
        <w:rPr>
          <w:rFonts w:hint="eastAsia"/>
        </w:rPr>
        <w:t>第三单元  X射线类仪器测试与分析（理论8课时 实践8课时）</w:t>
      </w:r>
      <w:bookmarkEnd w:id="8"/>
      <w:bookmarkEnd w:id="9"/>
    </w:p>
    <w:p>
      <w:r>
        <w:rPr>
          <w:rFonts w:hint="eastAsia"/>
        </w:rPr>
        <w:t xml:space="preserve">    知识点: 特征X射线与X射线荧光仪，X射线单晶衍射仪与X射线粉晶衍射仪的原理及应用。</w:t>
      </w:r>
    </w:p>
    <w:p>
      <w:r>
        <w:rPr>
          <w:rFonts w:hint="eastAsia"/>
        </w:rPr>
        <w:t xml:space="preserve">    能力要求：学生了解X射线的物理基础、原理及方法；学生掌握X射线衍射，X射线荧光结果分析方法</w:t>
      </w:r>
    </w:p>
    <w:p>
      <w:r>
        <w:rPr>
          <w:rFonts w:hint="eastAsia"/>
        </w:rPr>
        <w:t>教学难点：X射线衍射原理与检测关系</w:t>
      </w:r>
    </w:p>
    <w:p>
      <w:pPr>
        <w:outlineLvl w:val="0"/>
      </w:pPr>
      <w:bookmarkStart w:id="10" w:name="_Toc9914"/>
      <w:bookmarkStart w:id="11" w:name="_Toc13723"/>
      <w:r>
        <w:rPr>
          <w:rFonts w:hint="eastAsia"/>
        </w:rPr>
        <w:t>第四单元 电子显微镜类仪器测试与分析（理论6课时 实践0课时）</w:t>
      </w:r>
      <w:bookmarkEnd w:id="10"/>
      <w:bookmarkEnd w:id="11"/>
    </w:p>
    <w:p>
      <w:r>
        <w:rPr>
          <w:rFonts w:hint="eastAsia"/>
        </w:rPr>
        <w:t>知识点: 扫描电镜与电子探针的原理、操作与测试方法</w:t>
      </w:r>
    </w:p>
    <w:p>
      <w:r>
        <w:rPr>
          <w:rFonts w:hint="eastAsia"/>
        </w:rPr>
        <w:t xml:space="preserve">    能力要求：学生了解电镜的发展历史；学生掌握扫描电镜、电子探针仪的工作原理、特点、结构、样品制备、测试及数据分析</w:t>
      </w:r>
    </w:p>
    <w:p>
      <w:r>
        <w:rPr>
          <w:rFonts w:hint="eastAsia"/>
        </w:rPr>
        <w:t>教学难点：电子形貌与光学形貌的区别</w:t>
      </w:r>
    </w:p>
    <w:p>
      <w:pPr>
        <w:outlineLvl w:val="0"/>
      </w:pPr>
      <w:bookmarkStart w:id="12" w:name="_Toc3043"/>
      <w:bookmarkStart w:id="13" w:name="_Toc23303"/>
      <w:r>
        <w:rPr>
          <w:rFonts w:hint="eastAsia"/>
        </w:rPr>
        <w:t>第五单元  质谱类仪器测试与分析（理论2课时 实践0课时）</w:t>
      </w:r>
      <w:bookmarkEnd w:id="12"/>
      <w:bookmarkEnd w:id="13"/>
    </w:p>
    <w:p>
      <w:r>
        <w:rPr>
          <w:rFonts w:hint="eastAsia"/>
        </w:rPr>
        <w:t xml:space="preserve">    知识点: LIBS质谱仪的原理与应用</w:t>
      </w:r>
    </w:p>
    <w:p>
      <w:r>
        <w:rPr>
          <w:rFonts w:hint="eastAsia"/>
        </w:rPr>
        <w:t xml:space="preserve">    能力要求：学生了解质谱技术基本原理；学生熟悉离子类型；理解质谱分析曲线特点及实际应用</w:t>
      </w:r>
    </w:p>
    <w:p>
      <w:r>
        <w:rPr>
          <w:rFonts w:hint="eastAsia"/>
        </w:rPr>
        <w:t>教学难点：质谱仪的测试方法</w:t>
      </w:r>
    </w:p>
    <w:p>
      <w:r>
        <w:rPr>
          <w:rFonts w:hint="eastAsia"/>
        </w:rPr>
        <w:t>总复习（理论2课时 实践0课时）</w:t>
      </w:r>
    </w:p>
    <w:p>
      <w:pPr>
        <w:pStyle w:val="3"/>
      </w:pPr>
      <w:r>
        <w:rPr>
          <w:rFonts w:hint="eastAsia"/>
        </w:rPr>
        <w:t>七、课内实验名称及基本要求</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298"/>
        <w:gridCol w:w="3840"/>
        <w:gridCol w:w="764"/>
        <w:gridCol w:w="885"/>
        <w:gridCol w:w="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序号</w:t>
            </w:r>
          </w:p>
        </w:tc>
        <w:tc>
          <w:tcPr>
            <w:tcW w:w="1347" w:type="pc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实验名称</w:t>
            </w:r>
          </w:p>
        </w:tc>
        <w:tc>
          <w:tcPr>
            <w:tcW w:w="2252" w:type="pc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主要内容</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实验</w:t>
            </w:r>
          </w:p>
          <w:p>
            <w:pPr>
              <w:jc w:val="center"/>
              <w:rPr>
                <w:b/>
                <w:bCs/>
              </w:rPr>
            </w:pPr>
            <w:r>
              <w:rPr>
                <w:rFonts w:hint="eastAsia"/>
                <w:b/>
                <w:bCs/>
              </w:rPr>
              <w:t>时数</w:t>
            </w:r>
          </w:p>
        </w:tc>
        <w:tc>
          <w:tcPr>
            <w:tcW w:w="519" w:type="pct"/>
            <w:tcBorders>
              <w:top w:val="single" w:color="auto" w:sz="4" w:space="0"/>
              <w:left w:val="single" w:color="auto" w:sz="4" w:space="0"/>
              <w:right w:val="single" w:color="auto" w:sz="4" w:space="0"/>
            </w:tcBorders>
            <w:vAlign w:val="center"/>
          </w:tcPr>
          <w:p>
            <w:pPr>
              <w:jc w:val="center"/>
              <w:rPr>
                <w:b/>
                <w:bCs/>
              </w:rPr>
            </w:pPr>
            <w:r>
              <w:rPr>
                <w:rFonts w:hint="eastAsia"/>
                <w:b/>
                <w:bCs/>
              </w:rPr>
              <w:t>实验</w:t>
            </w:r>
          </w:p>
          <w:p>
            <w:pPr>
              <w:jc w:val="center"/>
              <w:rPr>
                <w:b/>
                <w:bCs/>
              </w:rPr>
            </w:pPr>
            <w:r>
              <w:rPr>
                <w:rFonts w:hint="eastAsia"/>
                <w:b/>
                <w:bCs/>
              </w:rPr>
              <w:t>类型</w:t>
            </w:r>
          </w:p>
        </w:tc>
        <w:tc>
          <w:tcPr>
            <w:tcW w:w="189" w:type="pct"/>
            <w:tcBorders>
              <w:top w:val="single" w:color="auto" w:sz="4" w:space="0"/>
              <w:left w:val="single" w:color="auto" w:sz="4" w:space="0"/>
              <w:right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24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134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红外光谱仪、紫外-可见光光谱仪操作实践</w:t>
            </w:r>
          </w:p>
        </w:tc>
        <w:tc>
          <w:tcPr>
            <w:tcW w:w="225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红外光谱仪的仪器认识与透射法与反射法测试操作实践，UV-VIS的仪器使用</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519" w:type="pct"/>
            <w:tcBorders>
              <w:left w:val="single" w:color="auto" w:sz="4" w:space="0"/>
              <w:right w:val="single" w:color="auto" w:sz="4" w:space="0"/>
            </w:tcBorders>
            <w:vAlign w:val="center"/>
          </w:tcPr>
          <w:p>
            <w:pPr>
              <w:jc w:val="center"/>
            </w:pPr>
            <w:r>
              <w:rPr>
                <w:rFonts w:hint="eastAsia"/>
              </w:rPr>
              <w:t>验证型</w:t>
            </w:r>
          </w:p>
        </w:tc>
        <w:tc>
          <w:tcPr>
            <w:tcW w:w="189" w:type="pct"/>
            <w:vMerge w:val="restart"/>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jc w:val="center"/>
        </w:trPr>
        <w:tc>
          <w:tcPr>
            <w:tcW w:w="24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134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X射线荧光光谱仪与激光拉曼光谱仪操作</w:t>
            </w:r>
          </w:p>
        </w:tc>
        <w:tc>
          <w:tcPr>
            <w:tcW w:w="225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XRF、LRM的仪器使用</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519" w:type="pct"/>
            <w:tcBorders>
              <w:left w:val="single" w:color="auto" w:sz="4" w:space="0"/>
              <w:right w:val="single" w:color="auto" w:sz="4" w:space="0"/>
            </w:tcBorders>
            <w:vAlign w:val="center"/>
          </w:tcPr>
          <w:p>
            <w:pPr>
              <w:jc w:val="center"/>
            </w:pPr>
            <w:r>
              <w:rPr>
                <w:rFonts w:hint="eastAsia"/>
              </w:rPr>
              <w:t>验证型</w:t>
            </w:r>
          </w:p>
        </w:tc>
        <w:tc>
          <w:tcPr>
            <w:tcW w:w="189"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42" w:type="pct"/>
            <w:tcBorders>
              <w:top w:val="single" w:color="auto" w:sz="4" w:space="0"/>
              <w:left w:val="single" w:color="auto" w:sz="4" w:space="0"/>
              <w:bottom w:val="single" w:color="auto" w:sz="4" w:space="0"/>
              <w:right w:val="single" w:color="auto" w:sz="4" w:space="0"/>
            </w:tcBorders>
            <w:vAlign w:val="center"/>
          </w:tcPr>
          <w:p>
            <w:pPr>
              <w:jc w:val="center"/>
            </w:pPr>
          </w:p>
        </w:tc>
        <w:tc>
          <w:tcPr>
            <w:tcW w:w="134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合计</w:t>
            </w:r>
          </w:p>
        </w:tc>
        <w:tc>
          <w:tcPr>
            <w:tcW w:w="2252" w:type="pct"/>
            <w:tcBorders>
              <w:top w:val="single" w:color="auto" w:sz="4" w:space="0"/>
              <w:left w:val="single" w:color="auto" w:sz="4" w:space="0"/>
              <w:bottom w:val="single" w:color="auto" w:sz="4" w:space="0"/>
              <w:right w:val="single" w:color="auto" w:sz="4" w:space="0"/>
            </w:tcBorders>
            <w:vAlign w:val="center"/>
          </w:tcPr>
          <w:p>
            <w:pPr>
              <w:jc w:val="center"/>
            </w:pPr>
          </w:p>
        </w:tc>
        <w:tc>
          <w:tcPr>
            <w:tcW w:w="448"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16</w:t>
            </w:r>
          </w:p>
        </w:tc>
        <w:tc>
          <w:tcPr>
            <w:tcW w:w="519" w:type="pct"/>
            <w:tcBorders>
              <w:left w:val="single" w:color="auto" w:sz="4" w:space="0"/>
              <w:right w:val="single" w:color="auto" w:sz="4" w:space="0"/>
            </w:tcBorders>
            <w:vAlign w:val="center"/>
          </w:tcPr>
          <w:p>
            <w:pPr>
              <w:jc w:val="center"/>
            </w:pPr>
          </w:p>
        </w:tc>
        <w:tc>
          <w:tcPr>
            <w:tcW w:w="189" w:type="pct"/>
            <w:tcBorders>
              <w:left w:val="single" w:color="auto" w:sz="4" w:space="0"/>
              <w:right w:val="single" w:color="auto" w:sz="4" w:space="0"/>
            </w:tcBorders>
            <w:vAlign w:val="center"/>
          </w:tcPr>
          <w:p>
            <w:pPr>
              <w:jc w:val="center"/>
            </w:pPr>
          </w:p>
        </w:tc>
      </w:tr>
    </w:tbl>
    <w:p>
      <w:pPr>
        <w:pStyle w:val="3"/>
      </w:pPr>
      <w:r>
        <w:rPr>
          <w:rFonts w:hint="eastAsia"/>
        </w:rPr>
        <w:t>八、评价方式与成绩</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496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pct"/>
          </w:tcPr>
          <w:p>
            <w:pPr>
              <w:jc w:val="center"/>
              <w:rPr>
                <w:b/>
                <w:bCs/>
              </w:rPr>
            </w:pPr>
            <w:r>
              <w:rPr>
                <w:rFonts w:hint="eastAsia"/>
                <w:b/>
                <w:bCs/>
              </w:rPr>
              <w:t>总评构成（</w:t>
            </w:r>
            <w:r>
              <w:rPr>
                <w:b/>
                <w:bCs/>
              </w:rPr>
              <w:t>X</w:t>
            </w:r>
            <w:r>
              <w:rPr>
                <w:rFonts w:hint="eastAsia"/>
                <w:b/>
                <w:bCs/>
              </w:rPr>
              <w:t>）</w:t>
            </w:r>
          </w:p>
        </w:tc>
        <w:tc>
          <w:tcPr>
            <w:tcW w:w="2914" w:type="pct"/>
          </w:tcPr>
          <w:p>
            <w:pPr>
              <w:jc w:val="center"/>
              <w:rPr>
                <w:b/>
                <w:bCs/>
              </w:rPr>
            </w:pPr>
            <w:r>
              <w:rPr>
                <w:rFonts w:hint="eastAsia"/>
                <w:b/>
                <w:bCs/>
              </w:rPr>
              <w:t>评价方式</w:t>
            </w:r>
          </w:p>
        </w:tc>
        <w:tc>
          <w:tcPr>
            <w:tcW w:w="1052" w:type="pct"/>
          </w:tcPr>
          <w:p>
            <w:pPr>
              <w:jc w:val="center"/>
              <w:rPr>
                <w:b/>
                <w:bCs/>
              </w:rPr>
            </w:pPr>
            <w:r>
              <w:rPr>
                <w:rFonts w:hint="eastAsia"/>
                <w:b/>
                <w:bCs/>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pct"/>
          </w:tcPr>
          <w:p>
            <w:pPr>
              <w:jc w:val="center"/>
            </w:pPr>
            <w:r>
              <w:rPr>
                <w:rFonts w:hint="eastAsia"/>
              </w:rPr>
              <w:t>X</w:t>
            </w:r>
            <w:r>
              <w:t>1</w:t>
            </w:r>
          </w:p>
        </w:tc>
        <w:tc>
          <w:tcPr>
            <w:tcW w:w="2914" w:type="pct"/>
          </w:tcPr>
          <w:p>
            <w:pPr>
              <w:jc w:val="center"/>
            </w:pPr>
            <w:r>
              <w:rPr>
                <w:rFonts w:hint="eastAsia"/>
              </w:rPr>
              <w:t>考试</w:t>
            </w:r>
          </w:p>
        </w:tc>
        <w:tc>
          <w:tcPr>
            <w:tcW w:w="1052" w:type="pct"/>
          </w:tcPr>
          <w:p>
            <w:pPr>
              <w:jc w:val="cente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pct"/>
          </w:tcPr>
          <w:p>
            <w:pPr>
              <w:jc w:val="center"/>
            </w:pPr>
            <w:r>
              <w:rPr>
                <w:rFonts w:hint="eastAsia"/>
              </w:rPr>
              <w:t>X</w:t>
            </w:r>
            <w:r>
              <w:t>2</w:t>
            </w:r>
          </w:p>
        </w:tc>
        <w:tc>
          <w:tcPr>
            <w:tcW w:w="2914" w:type="pct"/>
          </w:tcPr>
          <w:p>
            <w:pPr>
              <w:jc w:val="center"/>
            </w:pPr>
            <w:r>
              <w:rPr>
                <w:rFonts w:hint="eastAsia"/>
              </w:rPr>
              <w:t>论文</w:t>
            </w:r>
          </w:p>
        </w:tc>
        <w:tc>
          <w:tcPr>
            <w:tcW w:w="1052" w:type="pct"/>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pct"/>
          </w:tcPr>
          <w:p>
            <w:pPr>
              <w:jc w:val="center"/>
            </w:pPr>
            <w:r>
              <w:rPr>
                <w:rFonts w:hint="eastAsia"/>
              </w:rPr>
              <w:t>X</w:t>
            </w:r>
            <w:r>
              <w:t>3</w:t>
            </w:r>
          </w:p>
        </w:tc>
        <w:tc>
          <w:tcPr>
            <w:tcW w:w="2914" w:type="pct"/>
          </w:tcPr>
          <w:p>
            <w:pPr>
              <w:jc w:val="center"/>
            </w:pPr>
            <w:r>
              <w:rPr>
                <w:rFonts w:hint="eastAsia"/>
              </w:rPr>
              <w:t>实验报告1</w:t>
            </w:r>
          </w:p>
        </w:tc>
        <w:tc>
          <w:tcPr>
            <w:tcW w:w="1052" w:type="pct"/>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pct"/>
          </w:tcPr>
          <w:p>
            <w:pPr>
              <w:jc w:val="center"/>
            </w:pPr>
            <w:r>
              <w:rPr>
                <w:rFonts w:hint="eastAsia"/>
              </w:rPr>
              <w:t>X</w:t>
            </w:r>
            <w:r>
              <w:t>4</w:t>
            </w:r>
          </w:p>
        </w:tc>
        <w:tc>
          <w:tcPr>
            <w:tcW w:w="2914" w:type="pct"/>
          </w:tcPr>
          <w:p>
            <w:pPr>
              <w:jc w:val="center"/>
            </w:pPr>
            <w:r>
              <w:rPr>
                <w:rFonts w:hint="eastAsia"/>
              </w:rPr>
              <w:t>实验报告2</w:t>
            </w:r>
          </w:p>
        </w:tc>
        <w:tc>
          <w:tcPr>
            <w:tcW w:w="1052" w:type="pct"/>
          </w:tcPr>
          <w:p>
            <w:pPr>
              <w:jc w:val="center"/>
            </w:pPr>
            <w:r>
              <w:rPr>
                <w:rFonts w:hint="eastAsia"/>
              </w:rPr>
              <w:t>20%</w:t>
            </w:r>
          </w:p>
        </w:tc>
      </w:tr>
    </w:tbl>
    <w:p/>
    <w:p>
      <w:pPr>
        <w:outlineLvl w:val="0"/>
        <w:rPr>
          <w:sz w:val="28"/>
          <w:szCs w:val="28"/>
        </w:rPr>
      </w:pPr>
      <w:bookmarkStart w:id="14" w:name="_Toc19770"/>
      <w:bookmarkStart w:id="15" w:name="_Toc30584"/>
      <w:r>
        <w:rPr>
          <w:rFonts w:hint="eastAsia"/>
          <w:sz w:val="28"/>
          <w:szCs w:val="28"/>
        </w:rPr>
        <w:t>撰写人：</w:t>
      </w:r>
      <w:r>
        <w:rPr>
          <w:rFonts w:hint="eastAsia"/>
          <w:sz w:val="28"/>
          <w:szCs w:val="28"/>
          <w:lang w:val="en-US" w:eastAsia="zh-CN"/>
        </w:rPr>
        <w:t>支颖雪</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系主任审核签名</w:t>
      </w:r>
      <w:bookmarkEnd w:id="14"/>
      <w:bookmarkEnd w:id="15"/>
      <w:bookmarkStart w:id="16" w:name="_Toc12790"/>
      <w:bookmarkStart w:id="17" w:name="_Toc6324"/>
      <w:r>
        <w:rPr>
          <w:rFonts w:hint="eastAsia"/>
          <w:sz w:val="28"/>
          <w:szCs w:val="28"/>
          <w:lang w:eastAsia="zh-CN"/>
        </w:rPr>
        <w:t>：</w:t>
      </w:r>
      <w:r>
        <w:rPr>
          <w:rFonts w:hint="eastAsia"/>
          <w:sz w:val="28"/>
          <w:szCs w:val="28"/>
          <w:lang w:val="en-US" w:eastAsia="zh-CN"/>
        </w:rPr>
        <w:t>杨天畅</w:t>
      </w:r>
      <w:r>
        <w:rPr>
          <w:sz w:val="28"/>
          <w:szCs w:val="28"/>
        </w:rPr>
        <w:t xml:space="preserve">  </w:t>
      </w:r>
      <w:r>
        <w:rPr>
          <w:rFonts w:hint="eastAsia"/>
          <w:sz w:val="28"/>
          <w:szCs w:val="28"/>
        </w:rPr>
        <w:t>审核时间：</w:t>
      </w:r>
      <w:bookmarkEnd w:id="16"/>
      <w:bookmarkEnd w:id="17"/>
      <w:r>
        <w:rPr>
          <w:rFonts w:hint="eastAsia"/>
          <w:sz w:val="28"/>
          <w:szCs w:val="28"/>
          <w:lang w:val="en-US" w:eastAsia="zh-CN"/>
        </w:rPr>
        <w:t>2019.9</w:t>
      </w:r>
      <w:bookmarkStart w:id="18" w:name="_GoBack"/>
      <w:bookmarkEnd w:id="18"/>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36BFA"/>
    <w:rsid w:val="00256B39"/>
    <w:rsid w:val="0026033C"/>
    <w:rsid w:val="002E3721"/>
    <w:rsid w:val="00313BBA"/>
    <w:rsid w:val="0032602E"/>
    <w:rsid w:val="003367AE"/>
    <w:rsid w:val="003542C0"/>
    <w:rsid w:val="003B1258"/>
    <w:rsid w:val="004100B0"/>
    <w:rsid w:val="00434EA8"/>
    <w:rsid w:val="00510DE2"/>
    <w:rsid w:val="005467DC"/>
    <w:rsid w:val="00553D03"/>
    <w:rsid w:val="005B2B6D"/>
    <w:rsid w:val="005B4B4E"/>
    <w:rsid w:val="00624FE1"/>
    <w:rsid w:val="00690718"/>
    <w:rsid w:val="007208D6"/>
    <w:rsid w:val="007B5E5B"/>
    <w:rsid w:val="008B397C"/>
    <w:rsid w:val="008B47F4"/>
    <w:rsid w:val="00900019"/>
    <w:rsid w:val="0099063E"/>
    <w:rsid w:val="00A769B1"/>
    <w:rsid w:val="00AC4C45"/>
    <w:rsid w:val="00B46F21"/>
    <w:rsid w:val="00B511A5"/>
    <w:rsid w:val="00B736A7"/>
    <w:rsid w:val="00B7651F"/>
    <w:rsid w:val="00C36046"/>
    <w:rsid w:val="00C56E09"/>
    <w:rsid w:val="00C70A77"/>
    <w:rsid w:val="00CF096B"/>
    <w:rsid w:val="00E16D30"/>
    <w:rsid w:val="00E33169"/>
    <w:rsid w:val="00E70904"/>
    <w:rsid w:val="00EF44B1"/>
    <w:rsid w:val="00F35AA0"/>
    <w:rsid w:val="024B0C39"/>
    <w:rsid w:val="05F32003"/>
    <w:rsid w:val="0A8128A6"/>
    <w:rsid w:val="0BF32A1B"/>
    <w:rsid w:val="107C29DE"/>
    <w:rsid w:val="10BD2C22"/>
    <w:rsid w:val="22987C80"/>
    <w:rsid w:val="24192CCC"/>
    <w:rsid w:val="242D7097"/>
    <w:rsid w:val="2ED97280"/>
    <w:rsid w:val="2EF87936"/>
    <w:rsid w:val="39A66CD4"/>
    <w:rsid w:val="3CD52CE1"/>
    <w:rsid w:val="410F2E6A"/>
    <w:rsid w:val="4430136C"/>
    <w:rsid w:val="4AB0382B"/>
    <w:rsid w:val="4B5E6E71"/>
    <w:rsid w:val="508C4EE1"/>
    <w:rsid w:val="52B55DE4"/>
    <w:rsid w:val="569868B5"/>
    <w:rsid w:val="5D237ADB"/>
    <w:rsid w:val="604C31D6"/>
    <w:rsid w:val="611F6817"/>
    <w:rsid w:val="63B870EA"/>
    <w:rsid w:val="66CA1754"/>
    <w:rsid w:val="6F1E65D4"/>
    <w:rsid w:val="6F266C86"/>
    <w:rsid w:val="6F5042C2"/>
    <w:rsid w:val="71CF07DB"/>
    <w:rsid w:val="740D54CA"/>
    <w:rsid w:val="74316312"/>
    <w:rsid w:val="747A063B"/>
    <w:rsid w:val="7754243C"/>
    <w:rsid w:val="780F13C8"/>
    <w:rsid w:val="7C385448"/>
    <w:rsid w:val="7E851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480" w:lineRule="auto"/>
      <w:jc w:val="center"/>
      <w:outlineLvl w:val="0"/>
    </w:pPr>
    <w:rPr>
      <w:b/>
      <w:bCs/>
      <w:kern w:val="44"/>
      <w:sz w:val="28"/>
      <w:szCs w:val="44"/>
    </w:rPr>
  </w:style>
  <w:style w:type="paragraph" w:styleId="3">
    <w:name w:val="heading 2"/>
    <w:basedOn w:val="1"/>
    <w:next w:val="1"/>
    <w:unhideWhenUsed/>
    <w:qFormat/>
    <w:uiPriority w:val="0"/>
    <w:pPr>
      <w:keepNext/>
      <w:keepLines/>
      <w:spacing w:line="480" w:lineRule="auto"/>
      <w:outlineLvl w:val="1"/>
    </w:pPr>
    <w:rPr>
      <w:rFonts w:ascii="Arial" w:hAnsi="Arial" w:eastAsia="黑体"/>
      <w:b/>
      <w:sz w:val="2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445</Words>
  <Characters>2543</Characters>
  <Lines>21</Lines>
  <Paragraphs>5</Paragraphs>
  <TotalTime>7</TotalTime>
  <ScaleCrop>false</ScaleCrop>
  <LinksUpToDate>false</LinksUpToDate>
  <CharactersWithSpaces>2983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豆包</cp:lastModifiedBy>
  <dcterms:modified xsi:type="dcterms:W3CDTF">2022-03-01T04:05:26Z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RubyTemplateID" linkTarget="0">
    <vt:lpwstr>6</vt:lpwstr>
  </property>
  <property fmtid="{D5CDD505-2E9C-101B-9397-08002B2CF9AE}" pid="4" name="ICV">
    <vt:lpwstr>ECC96773AA8F4DEF8A748C1332D5705F</vt:lpwstr>
  </property>
</Properties>
</file>