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 w:ascii="宋体" w:hAnsi="宋体" w:cs="宋体"/>
          <w:b/>
          <w:sz w:val="28"/>
          <w:szCs w:val="28"/>
        </w:rPr>
        <w:t>首饰概论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【Introduction to Jewelry】</w:t>
      </w:r>
      <w:bookmarkStart w:id="0" w:name="a2"/>
      <w:bookmarkEnd w:id="0"/>
    </w:p>
    <w:p>
      <w:pPr>
        <w:spacing w:line="360" w:lineRule="auto"/>
        <w:rPr>
          <w:rFonts w:ascii="黑体" w:hAnsi="宋体" w:eastAsia="黑体"/>
          <w:b/>
          <w:sz w:val="20"/>
          <w:szCs w:val="20"/>
        </w:rPr>
      </w:pPr>
      <w:r>
        <w:rPr>
          <w:rFonts w:hint="eastAsia" w:ascii="黑体" w:hAnsi="宋体" w:eastAsia="黑体"/>
          <w:b/>
          <w:sz w:val="20"/>
          <w:szCs w:val="20"/>
        </w:rPr>
        <w:t>一、基本信息</w:t>
      </w:r>
    </w:p>
    <w:p>
      <w:pPr>
        <w:snapToGrid w:val="0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课程代码：【</w:t>
      </w:r>
      <w:r>
        <w:rPr>
          <w:rFonts w:hint="eastAsia" w:ascii="宋体" w:hAnsi="宋体" w:cs="宋体"/>
          <w:sz w:val="20"/>
          <w:szCs w:val="20"/>
        </w:rPr>
        <w:t>2120089</w:t>
      </w:r>
      <w:r>
        <w:rPr>
          <w:rFonts w:hint="eastAsia"/>
          <w:b/>
          <w:bCs/>
          <w:sz w:val="20"/>
          <w:szCs w:val="20"/>
        </w:rPr>
        <w:t>】</w:t>
      </w:r>
    </w:p>
    <w:p>
      <w:pPr>
        <w:snapToGrid w:val="0"/>
        <w:rPr>
          <w:rFonts w:ascii="宋体" w:hAnsi="宋体" w:cs="宋体"/>
          <w:sz w:val="20"/>
          <w:szCs w:val="20"/>
        </w:rPr>
      </w:pPr>
      <w:r>
        <w:rPr>
          <w:b/>
          <w:bCs/>
          <w:sz w:val="20"/>
          <w:szCs w:val="20"/>
        </w:rPr>
        <w:t>课程学分：</w:t>
      </w:r>
      <w:r>
        <w:rPr>
          <w:rFonts w:hint="eastAsia" w:ascii="宋体" w:hAnsi="宋体" w:cs="宋体"/>
          <w:sz w:val="20"/>
          <w:szCs w:val="20"/>
        </w:rPr>
        <w:t>【</w:t>
      </w:r>
      <w:r>
        <w:rPr>
          <w:rFonts w:ascii="宋体" w:hAnsi="宋体" w:cs="宋体"/>
          <w:sz w:val="20"/>
          <w:szCs w:val="20"/>
        </w:rPr>
        <w:t>3</w:t>
      </w:r>
      <w:r>
        <w:rPr>
          <w:rFonts w:hint="eastAsia" w:ascii="宋体" w:hAnsi="宋体" w:cs="宋体"/>
          <w:sz w:val="20"/>
          <w:szCs w:val="20"/>
        </w:rPr>
        <w:t>】</w:t>
      </w:r>
    </w:p>
    <w:p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面向专业：</w:t>
      </w:r>
      <w:r>
        <w:rPr>
          <w:rFonts w:hint="eastAsia"/>
          <w:b/>
          <w:bCs/>
          <w:sz w:val="20"/>
          <w:szCs w:val="20"/>
        </w:rPr>
        <w:t>【</w:t>
      </w:r>
      <w:r>
        <w:rPr>
          <w:rFonts w:hint="eastAsia"/>
          <w:sz w:val="20"/>
          <w:szCs w:val="20"/>
        </w:rPr>
        <w:t>产品设计（珠宝首饰设计）专业</w:t>
      </w:r>
      <w:r>
        <w:rPr>
          <w:rFonts w:hint="eastAsia"/>
          <w:b/>
          <w:bCs/>
          <w:sz w:val="20"/>
          <w:szCs w:val="20"/>
        </w:rPr>
        <w:t>】</w:t>
      </w:r>
    </w:p>
    <w:p>
      <w:pPr>
        <w:snapToGrid w:val="0"/>
        <w:rPr>
          <w:sz w:val="20"/>
          <w:szCs w:val="20"/>
        </w:rPr>
      </w:pPr>
      <w:r>
        <w:rPr>
          <w:b/>
          <w:bCs/>
          <w:sz w:val="20"/>
          <w:szCs w:val="20"/>
        </w:rPr>
        <w:t>课程性质：</w:t>
      </w:r>
      <w:r>
        <w:rPr>
          <w:rFonts w:hint="eastAsia"/>
          <w:b/>
          <w:bCs/>
          <w:sz w:val="20"/>
          <w:szCs w:val="20"/>
        </w:rPr>
        <w:t>【</w:t>
      </w:r>
      <w:r>
        <w:rPr>
          <w:rFonts w:hint="eastAsia" w:ascii="宋体" w:hAnsi="宋体" w:cs="宋体"/>
          <w:sz w:val="20"/>
          <w:szCs w:val="20"/>
        </w:rPr>
        <w:t>院级必修课</w:t>
      </w:r>
      <w:r>
        <w:rPr>
          <w:rFonts w:hint="eastAsia"/>
          <w:b/>
          <w:bCs/>
          <w:sz w:val="20"/>
          <w:szCs w:val="20"/>
        </w:rPr>
        <w:t>】</w:t>
      </w:r>
    </w:p>
    <w:p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开课院系：</w:t>
      </w:r>
      <w:r>
        <w:rPr>
          <w:rFonts w:hint="eastAsia"/>
          <w:b/>
          <w:bCs/>
          <w:sz w:val="20"/>
          <w:szCs w:val="20"/>
        </w:rPr>
        <w:t>【</w:t>
      </w:r>
      <w:r>
        <w:rPr>
          <w:rFonts w:hint="eastAsia"/>
          <w:sz w:val="20"/>
          <w:szCs w:val="20"/>
        </w:rPr>
        <w:t>珠宝学院产品设计系</w:t>
      </w:r>
      <w:r>
        <w:rPr>
          <w:rFonts w:hint="eastAsia"/>
          <w:b/>
          <w:bCs/>
          <w:sz w:val="20"/>
          <w:szCs w:val="20"/>
        </w:rPr>
        <w:t>】</w:t>
      </w:r>
    </w:p>
    <w:p>
      <w:pPr>
        <w:rPr>
          <w:b/>
          <w:bCs/>
          <w:sz w:val="20"/>
          <w:szCs w:val="20"/>
          <w:lang w:val="zh-TW" w:eastAsia="zh-TW"/>
        </w:rPr>
      </w:pPr>
      <w:r>
        <w:rPr>
          <w:rFonts w:hint="eastAsia" w:ascii="宋体" w:hAnsi="宋体"/>
          <w:b/>
          <w:bCs/>
          <w:sz w:val="20"/>
          <w:szCs w:val="20"/>
        </w:rPr>
        <w:t>使用</w:t>
      </w:r>
      <w:r>
        <w:rPr>
          <w:rFonts w:ascii="宋体" w:hAnsi="宋体"/>
          <w:b/>
          <w:bCs/>
          <w:sz w:val="20"/>
          <w:szCs w:val="20"/>
        </w:rPr>
        <w:t>教材</w:t>
      </w:r>
      <w:r>
        <w:rPr>
          <w:rFonts w:hint="eastAsia" w:ascii="宋体" w:hAnsi="宋体"/>
          <w:b/>
          <w:bCs/>
          <w:sz w:val="20"/>
          <w:szCs w:val="20"/>
        </w:rPr>
        <w:t>：</w:t>
      </w:r>
    </w:p>
    <w:p>
      <w:pPr>
        <w:rPr>
          <w:sz w:val="20"/>
          <w:szCs w:val="20"/>
          <w:lang w:val="zh-TW" w:eastAsia="zh-TW"/>
        </w:rPr>
      </w:pPr>
      <w:r>
        <w:rPr>
          <w:rFonts w:ascii="宋体" w:hAnsi="宋体" w:cs="宋体"/>
          <w:sz w:val="20"/>
          <w:szCs w:val="20"/>
          <w:lang w:val="zh-TW" w:eastAsia="zh-TW"/>
        </w:rPr>
        <w:t>教材【</w:t>
      </w:r>
      <w:r>
        <w:rPr>
          <w:rFonts w:hint="eastAsia" w:ascii="宋体" w:hAnsi="宋体" w:cs="宋体"/>
          <w:sz w:val="20"/>
          <w:szCs w:val="20"/>
          <w:lang w:val="zh-TW" w:eastAsia="zh-TW"/>
        </w:rPr>
        <w:t>《珠宝首饰设计》，郭新、上海人民美术出版社， 2021.04.01</w:t>
      </w:r>
      <w:r>
        <w:rPr>
          <w:rFonts w:ascii="宋体" w:hAnsi="宋体" w:cs="宋体"/>
          <w:sz w:val="20"/>
          <w:szCs w:val="20"/>
          <w:lang w:val="zh-TW" w:eastAsia="zh-TW"/>
        </w:rPr>
        <w:t>】</w:t>
      </w:r>
    </w:p>
    <w:p>
      <w:pPr>
        <w:spacing w:line="288" w:lineRule="auto"/>
        <w:rPr>
          <w:sz w:val="20"/>
          <w:szCs w:val="20"/>
          <w:lang w:val="zh-TW" w:eastAsia="zh-TW"/>
        </w:rPr>
      </w:pPr>
      <w:r>
        <w:rPr>
          <w:rFonts w:ascii="宋体" w:hAnsi="宋体" w:cs="宋体"/>
          <w:sz w:val="20"/>
          <w:szCs w:val="20"/>
          <w:lang w:val="zh-TW" w:eastAsia="zh-TW"/>
        </w:rPr>
        <w:t>参考书目：</w:t>
      </w:r>
    </w:p>
    <w:p>
      <w:pPr>
        <w:ind w:firstLine="420"/>
        <w:rPr>
          <w:rFonts w:ascii="宋体" w:hAnsi="宋体" w:cs="宋体"/>
          <w:sz w:val="20"/>
          <w:szCs w:val="20"/>
          <w:lang w:val="zh-TW" w:eastAsia="zh-TW"/>
        </w:rPr>
      </w:pPr>
      <w:r>
        <w:rPr>
          <w:rFonts w:ascii="宋体" w:hAnsi="宋体" w:cs="宋体"/>
          <w:sz w:val="20"/>
          <w:szCs w:val="20"/>
          <w:lang w:val="zh-TW" w:eastAsia="zh-TW"/>
        </w:rPr>
        <w:t>【</w:t>
      </w:r>
      <w:r>
        <w:rPr>
          <w:rFonts w:hint="eastAsia"/>
          <w:sz w:val="20"/>
          <w:szCs w:val="20"/>
        </w:rPr>
        <w:t>《首饰的故事》，</w:t>
      </w:r>
      <w:r>
        <w:rPr>
          <w:sz w:val="20"/>
          <w:szCs w:val="20"/>
        </w:rPr>
        <w:t>石青</w:t>
      </w:r>
      <w:r>
        <w:rPr>
          <w:rFonts w:hint="eastAsia"/>
          <w:sz w:val="20"/>
          <w:szCs w:val="20"/>
        </w:rPr>
        <w:t>，百花文艺出版社，2003.1</w:t>
      </w:r>
      <w:r>
        <w:rPr>
          <w:rFonts w:ascii="宋体" w:hAnsi="宋体" w:cs="宋体"/>
          <w:sz w:val="20"/>
          <w:szCs w:val="20"/>
          <w:lang w:val="zh-TW" w:eastAsia="zh-TW"/>
        </w:rPr>
        <w:t>】</w:t>
      </w:r>
    </w:p>
    <w:p>
      <w:pPr>
        <w:spacing w:line="288" w:lineRule="auto"/>
        <w:ind w:firstLine="400"/>
        <w:rPr>
          <w:rFonts w:ascii="宋体" w:hAnsi="宋体" w:eastAsia="PMingLiU" w:cs="宋体"/>
          <w:sz w:val="20"/>
          <w:szCs w:val="20"/>
          <w:lang w:val="zh-TW" w:eastAsia="zh-TW"/>
        </w:rPr>
      </w:pPr>
      <w:r>
        <w:rPr>
          <w:rFonts w:ascii="宋体" w:hAnsi="宋体" w:cs="宋体"/>
          <w:sz w:val="20"/>
          <w:szCs w:val="20"/>
          <w:lang w:val="zh-TW" w:eastAsia="zh-TW"/>
        </w:rPr>
        <w:t>【</w:t>
      </w:r>
      <w:r>
        <w:rPr>
          <w:sz w:val="20"/>
          <w:szCs w:val="20"/>
        </w:rPr>
        <w:t>《中国头饰文化》</w:t>
      </w:r>
      <w:r>
        <w:rPr>
          <w:rFonts w:hint="eastAsia"/>
          <w:sz w:val="20"/>
          <w:szCs w:val="20"/>
        </w:rPr>
        <w:t>，</w:t>
      </w:r>
      <w:r>
        <w:fldChar w:fldCharType="begin"/>
      </w:r>
      <w:r>
        <w:instrText xml:space="preserve"> HYPERLINK "https://baike.baidu.com/item/%E7%AE%A1%E5%BD%A6%E6%B3%A2" \t "_blank" </w:instrText>
      </w:r>
      <w:r>
        <w:fldChar w:fldCharType="separate"/>
      </w:r>
      <w:r>
        <w:rPr>
          <w:sz w:val="20"/>
          <w:szCs w:val="20"/>
        </w:rPr>
        <w:t>管彦波</w:t>
      </w:r>
      <w:r>
        <w:rPr>
          <w:sz w:val="20"/>
          <w:szCs w:val="20"/>
        </w:rPr>
        <w:fldChar w:fldCharType="end"/>
      </w:r>
      <w:r>
        <w:rPr>
          <w:rFonts w:hint="eastAsia"/>
          <w:sz w:val="20"/>
          <w:szCs w:val="20"/>
        </w:rPr>
        <w:t>，</w:t>
      </w:r>
      <w:r>
        <w:fldChar w:fldCharType="begin"/>
      </w:r>
      <w:r>
        <w:instrText xml:space="preserve"> HYPERLINK "https://baike.baidu.com/item/%E5%86%85%E8%92%99%E5%8F%A4%E5%A4%A7%E5%AD%A6%E5%87%BA%E7%89%88%E7%A4%BE" \t "_blank" </w:instrText>
      </w:r>
      <w:r>
        <w:fldChar w:fldCharType="separate"/>
      </w:r>
      <w:r>
        <w:rPr>
          <w:sz w:val="20"/>
          <w:szCs w:val="20"/>
        </w:rPr>
        <w:t>内蒙古大学出版社</w:t>
      </w:r>
      <w:r>
        <w:rPr>
          <w:sz w:val="20"/>
          <w:szCs w:val="20"/>
        </w:rPr>
        <w:fldChar w:fldCharType="end"/>
      </w:r>
      <w:r>
        <w:rPr>
          <w:rFonts w:hint="eastAsia"/>
          <w:sz w:val="20"/>
          <w:szCs w:val="20"/>
        </w:rPr>
        <w:t>，</w:t>
      </w:r>
      <w:r>
        <w:rPr>
          <w:sz w:val="20"/>
          <w:szCs w:val="20"/>
        </w:rPr>
        <w:t>200</w:t>
      </w:r>
      <w:r>
        <w:rPr>
          <w:rFonts w:hint="eastAsia"/>
          <w:sz w:val="20"/>
          <w:szCs w:val="20"/>
        </w:rPr>
        <w:t xml:space="preserve">6.12 </w:t>
      </w:r>
      <w:r>
        <w:rPr>
          <w:rFonts w:ascii="宋体" w:hAnsi="宋体" w:cs="宋体"/>
          <w:sz w:val="20"/>
          <w:szCs w:val="20"/>
          <w:lang w:val="zh-TW" w:eastAsia="zh-TW"/>
        </w:rPr>
        <w:t>】</w:t>
      </w:r>
    </w:p>
    <w:p>
      <w:pPr>
        <w:spacing w:line="288" w:lineRule="auto"/>
        <w:ind w:firstLine="400"/>
        <w:rPr>
          <w:rFonts w:ascii="宋体" w:hAnsi="宋体" w:eastAsia="PMingLiU" w:cs="宋体"/>
          <w:sz w:val="20"/>
          <w:szCs w:val="20"/>
          <w:lang w:val="zh-TW" w:eastAsia="zh-TW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rFonts w:ascii="宋体" w:hAnsi="宋体" w:cs="宋体"/>
          <w:sz w:val="20"/>
          <w:szCs w:val="20"/>
        </w:rPr>
        <w:t>世界珠宝品牌简史</w:t>
      </w:r>
      <w:r>
        <w:rPr>
          <w:rFonts w:hint="eastAsia" w:ascii="宋体" w:hAnsi="宋体" w:cs="宋体"/>
          <w:sz w:val="20"/>
          <w:szCs w:val="20"/>
        </w:rPr>
        <w:t>》</w:t>
      </w:r>
      <w:r>
        <w:rPr>
          <w:rFonts w:ascii="宋体" w:hAnsi="宋体" w:cs="宋体"/>
          <w:sz w:val="20"/>
          <w:szCs w:val="20"/>
        </w:rPr>
        <w:t>任进，巫金津著</w:t>
      </w:r>
      <w:r>
        <w:rPr>
          <w:rFonts w:hint="eastAsia" w:ascii="宋体" w:hAnsi="宋体" w:cs="宋体"/>
          <w:sz w:val="20"/>
          <w:szCs w:val="20"/>
        </w:rPr>
        <w:t>，</w:t>
      </w:r>
      <w:r>
        <w:rPr>
          <w:rFonts w:ascii="宋体" w:hAnsi="宋体" w:cs="宋体"/>
          <w:sz w:val="20"/>
          <w:szCs w:val="20"/>
        </w:rPr>
        <w:t>中国地质大学出版社</w:t>
      </w:r>
      <w:r>
        <w:rPr>
          <w:rFonts w:hint="eastAsia" w:ascii="宋体" w:hAnsi="宋体" w:cs="宋体"/>
          <w:sz w:val="20"/>
          <w:szCs w:val="20"/>
        </w:rPr>
        <w:t xml:space="preserve"> 2016</w:t>
      </w:r>
      <w:r>
        <w:rPr>
          <w:rFonts w:ascii="宋体" w:hAnsi="宋体" w:cs="宋体"/>
          <w:sz w:val="20"/>
          <w:szCs w:val="20"/>
        </w:rPr>
        <w:t>.9</w:t>
      </w:r>
      <w:r>
        <w:rPr>
          <w:color w:val="000000"/>
          <w:sz w:val="20"/>
          <w:szCs w:val="20"/>
        </w:rPr>
        <w:t>】</w:t>
      </w:r>
    </w:p>
    <w:p>
      <w:pPr>
        <w:shd w:val="clear" w:color="auto" w:fill="FFFFFF"/>
        <w:ind w:left="720"/>
        <w:rPr>
          <w:sz w:val="20"/>
          <w:szCs w:val="20"/>
        </w:rPr>
      </w:pPr>
    </w:p>
    <w:p>
      <w:pPr>
        <w:ind w:left="402" w:hanging="402" w:hangingChars="200"/>
        <w:jc w:val="left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课程网站网址：</w:t>
      </w:r>
      <w:r>
        <w:rPr>
          <w:rFonts w:hint="eastAsia"/>
          <w:sz w:val="20"/>
          <w:szCs w:val="20"/>
        </w:rPr>
        <w:t>https://elearning.gench.edu.cn:8443/webapps/blackboard/execute/modulepage/view?course_id=_5762_1&amp;cmp_tab_id=_6042_1&amp;editMode=true&amp;mode=cpview</w:t>
      </w:r>
    </w:p>
    <w:p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先修课程：</w:t>
      </w:r>
      <w:r>
        <w:rPr>
          <w:rFonts w:hint="eastAsia"/>
          <w:b/>
          <w:bCs/>
          <w:sz w:val="20"/>
          <w:szCs w:val="20"/>
        </w:rPr>
        <w:t>【</w:t>
      </w:r>
      <w:r>
        <w:rPr>
          <w:rFonts w:hint="eastAsia"/>
          <w:sz w:val="20"/>
          <w:szCs w:val="20"/>
        </w:rPr>
        <w:t>无</w:t>
      </w:r>
      <w:r>
        <w:rPr>
          <w:rFonts w:hint="eastAsia"/>
          <w:b/>
          <w:bCs/>
          <w:sz w:val="20"/>
          <w:szCs w:val="20"/>
        </w:rPr>
        <w:t>】</w:t>
      </w:r>
    </w:p>
    <w:p>
      <w:pPr>
        <w:rPr>
          <w:b/>
          <w:bCs/>
          <w:sz w:val="20"/>
          <w:szCs w:val="20"/>
        </w:rPr>
      </w:pPr>
    </w:p>
    <w:p>
      <w:pPr>
        <w:spacing w:line="360" w:lineRule="auto"/>
        <w:rPr>
          <w:rFonts w:ascii="黑体" w:hAnsi="宋体" w:eastAsia="黑体"/>
          <w:b/>
          <w:sz w:val="20"/>
          <w:szCs w:val="20"/>
        </w:rPr>
      </w:pPr>
      <w:r>
        <w:rPr>
          <w:rFonts w:hint="eastAsia" w:ascii="黑体" w:hAnsi="宋体" w:eastAsia="黑体"/>
          <w:b/>
          <w:sz w:val="20"/>
          <w:szCs w:val="20"/>
        </w:rPr>
        <w:t>二、课程简介</w:t>
      </w:r>
    </w:p>
    <w:p>
      <w:pPr>
        <w:ind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本课程作为产品设计（珠宝首饰设计）专业学生开设的一门院级必修课。主要介绍中国历朝历代珠宝首饰的时代风格；国外不同时期珠宝首饰的时代风格；不同地域和民族的首饰特征；国际与国内珠宝首饰品牌；国际著名珠宝首饰设计师风格等。</w:t>
      </w:r>
    </w:p>
    <w:p>
      <w:pPr>
        <w:ind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此课程聚焦于中外珠宝首饰的历史和人文背景以及其风格特征，帮助学生理解首饰背后的文化和艺术内涵，并从多角度对与珠宝首饰相关的文化、艺术等方面的内容进行概念性的介绍，使学生能全面系统地掌握课程相关的理论知识，并能独立完成对珠宝首饰的赏析，积累人文素养，为后续首饰设计课程的学习打下基础。</w:t>
      </w:r>
    </w:p>
    <w:p>
      <w:pPr>
        <w:ind w:firstLine="400" w:firstLineChars="200"/>
        <w:rPr>
          <w:sz w:val="20"/>
          <w:szCs w:val="20"/>
        </w:rPr>
      </w:pPr>
    </w:p>
    <w:p>
      <w:pPr>
        <w:spacing w:line="360" w:lineRule="auto"/>
        <w:rPr>
          <w:rFonts w:ascii="黑体" w:hAnsi="宋体" w:eastAsia="黑体"/>
          <w:b/>
          <w:sz w:val="20"/>
          <w:szCs w:val="20"/>
        </w:rPr>
      </w:pPr>
      <w:r>
        <w:rPr>
          <w:rFonts w:hint="eastAsia" w:ascii="黑体" w:hAnsi="宋体" w:eastAsia="黑体"/>
          <w:b/>
          <w:sz w:val="20"/>
          <w:szCs w:val="20"/>
        </w:rPr>
        <w:t>三、选课建议</w:t>
      </w:r>
    </w:p>
    <w:p>
      <w:pPr>
        <w:ind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本课程适于产品设计（珠宝首饰设计）专业本科学生一年级学习，是该专业的一门院级必修课</w:t>
      </w:r>
      <w:r>
        <w:rPr>
          <w:rFonts w:hint="eastAsia" w:ascii="宋体" w:hAnsi="宋体"/>
          <w:sz w:val="20"/>
          <w:szCs w:val="20"/>
        </w:rPr>
        <w:t>。本课程适合产品设计（珠宝首饰设计）专业本科学生第一学年第一学期开设。</w:t>
      </w:r>
    </w:p>
    <w:p>
      <w:pPr>
        <w:ind w:firstLine="400" w:firstLineChars="200"/>
        <w:rPr>
          <w:sz w:val="20"/>
          <w:szCs w:val="20"/>
        </w:rPr>
      </w:pPr>
    </w:p>
    <w:p>
      <w:pPr>
        <w:ind w:firstLine="400" w:firstLineChars="200"/>
        <w:rPr>
          <w:sz w:val="20"/>
          <w:szCs w:val="20"/>
        </w:rPr>
      </w:pPr>
    </w:p>
    <w:p>
      <w:pPr>
        <w:ind w:firstLine="400" w:firstLineChars="200"/>
        <w:rPr>
          <w:sz w:val="20"/>
          <w:szCs w:val="20"/>
        </w:rPr>
      </w:pPr>
    </w:p>
    <w:p>
      <w:pPr>
        <w:ind w:firstLine="400" w:firstLineChars="200"/>
        <w:rPr>
          <w:sz w:val="20"/>
          <w:szCs w:val="20"/>
        </w:rPr>
      </w:pPr>
    </w:p>
    <w:p>
      <w:pPr>
        <w:ind w:firstLine="400" w:firstLineChars="200"/>
        <w:rPr>
          <w:sz w:val="20"/>
          <w:szCs w:val="20"/>
        </w:rPr>
      </w:pPr>
    </w:p>
    <w:p>
      <w:pPr>
        <w:ind w:firstLine="400" w:firstLineChars="200"/>
        <w:rPr>
          <w:sz w:val="20"/>
          <w:szCs w:val="20"/>
        </w:rPr>
      </w:pPr>
    </w:p>
    <w:p>
      <w:pPr>
        <w:ind w:firstLine="400" w:firstLineChars="200"/>
        <w:rPr>
          <w:sz w:val="20"/>
          <w:szCs w:val="20"/>
        </w:rPr>
      </w:pPr>
    </w:p>
    <w:p>
      <w:pPr>
        <w:ind w:firstLine="400" w:firstLineChars="200"/>
        <w:rPr>
          <w:sz w:val="20"/>
          <w:szCs w:val="20"/>
        </w:rPr>
      </w:pPr>
    </w:p>
    <w:p>
      <w:pPr>
        <w:widowControl/>
        <w:numPr>
          <w:ilvl w:val="0"/>
          <w:numId w:val="1"/>
        </w:numPr>
        <w:spacing w:beforeLines="50" w:afterLines="50" w:line="288" w:lineRule="auto"/>
        <w:jc w:val="left"/>
        <w:rPr>
          <w:rFonts w:ascii="黑体" w:hAnsi="宋体" w:eastAsia="黑体"/>
          <w:b/>
          <w:bCs/>
          <w:sz w:val="20"/>
          <w:szCs w:val="20"/>
        </w:rPr>
      </w:pPr>
      <w:r>
        <w:rPr>
          <w:rFonts w:ascii="黑体" w:hAnsi="宋体" w:eastAsia="黑体"/>
          <w:b/>
          <w:bCs/>
          <w:sz w:val="20"/>
          <w:szCs w:val="20"/>
        </w:rPr>
        <w:t>课程与培养学生能力的关联性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1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41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专业毕业要求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beforeLines="50" w:afterLines="50"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1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LO11：理解他人的观点和鉴定、鉴别要求，并能够清晰流畅的表达自己的鉴定思路和工作构想。能在不同场合用书面、口头或数据图表及宝石、矿物样本形式进行有效的双向沟通。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1118" w:type="dxa"/>
          </w:tcPr>
          <w:p>
            <w:pPr>
              <w:widowControl/>
              <w:spacing w:beforeLines="50" w:afterLines="50" w:line="288" w:lineRule="auto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1" w:type="dxa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21：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beforeLines="50" w:afterLines="50"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1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LO31：掌握设计和审美的基本理论与基本知识；具备设计能力和审美素养。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beforeLines="50" w:afterLines="50"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1" w:type="dxa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LO32：掌握珠宝首饰加工技能和工艺的基本理论知识。</w:t>
            </w:r>
          </w:p>
        </w:tc>
        <w:tc>
          <w:tcPr>
            <w:tcW w:w="1118" w:type="dxa"/>
          </w:tcPr>
          <w:p>
            <w:pPr>
              <w:widowControl/>
              <w:spacing w:beforeLines="50" w:afterLines="50" w:line="288" w:lineRule="auto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1" w:type="dxa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1118" w:type="dxa"/>
          </w:tcPr>
          <w:p>
            <w:pPr>
              <w:widowControl/>
              <w:spacing w:beforeLines="50" w:afterLines="50" w:line="288" w:lineRule="auto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1" w:type="dxa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LO34：掌握珠宝鉴定常规仪器、大型仪器的基本原理和操作，利用仪器能够准确鉴别珠宝玉石。</w:t>
            </w:r>
          </w:p>
        </w:tc>
        <w:tc>
          <w:tcPr>
            <w:tcW w:w="1118" w:type="dxa"/>
          </w:tcPr>
          <w:p>
            <w:pPr>
              <w:widowControl/>
              <w:spacing w:beforeLines="50" w:afterLines="50" w:line="288" w:lineRule="auto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1" w:type="dxa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LO35：掌握珠宝鉴赏和评估的相关知识，具备基本的珠宝玉石鉴赏和评估能力。</w:t>
            </w:r>
          </w:p>
        </w:tc>
        <w:tc>
          <w:tcPr>
            <w:tcW w:w="1118" w:type="dxa"/>
          </w:tcPr>
          <w:p>
            <w:pPr>
              <w:widowControl/>
              <w:spacing w:beforeLines="50" w:afterLines="50" w:line="288" w:lineRule="auto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1" w:type="dxa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1118" w:type="dxa"/>
          </w:tcPr>
          <w:p>
            <w:pPr>
              <w:widowControl/>
              <w:spacing w:beforeLines="50" w:afterLines="50" w:line="288" w:lineRule="auto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1" w:type="dxa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LO51：同工作学习伙伴保持良好的关系，团结互助、齐心协力，做团队或集体中的积极成员；善于从多个维度思考问题，善于利用自己掌握的知识与技能，在工作实践中提出新颖的构思和设想。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1118" w:type="dxa"/>
          </w:tcPr>
          <w:p>
            <w:pPr>
              <w:widowControl/>
              <w:spacing w:beforeLines="50" w:afterLines="50" w:line="288" w:lineRule="auto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1" w:type="dxa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1118" w:type="dxa"/>
          </w:tcPr>
          <w:p>
            <w:pPr>
              <w:widowControl/>
              <w:spacing w:beforeLines="50" w:afterLines="50" w:line="288" w:lineRule="auto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1" w:type="dxa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pacing w:beforeLines="50" w:afterLines="50"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1" w:type="dxa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LO81：具备外语能力，能够阅读外文专业图书和资料，同时对专业范围中跨语言跨文化的内容具有理解能力，有国际竞争与合作的意识。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1118" w:type="dxa"/>
          </w:tcPr>
          <w:p>
            <w:pPr>
              <w:widowControl/>
              <w:spacing w:beforeLines="50" w:afterLines="50" w:line="288" w:lineRule="auto"/>
              <w:jc w:val="left"/>
              <w:rPr>
                <w:sz w:val="20"/>
                <w:szCs w:val="20"/>
              </w:rPr>
            </w:pPr>
          </w:p>
        </w:tc>
      </w:tr>
    </w:tbl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b/>
          <w:bCs/>
          <w:sz w:val="20"/>
          <w:szCs w:val="20"/>
        </w:rPr>
      </w:pPr>
      <w:r>
        <w:rPr>
          <w:rFonts w:hint="eastAsia" w:ascii="黑体" w:hAnsi="宋体" w:eastAsia="黑体"/>
          <w:b/>
          <w:bCs/>
          <w:sz w:val="20"/>
          <w:szCs w:val="20"/>
        </w:rPr>
        <w:t>五、</w:t>
      </w:r>
      <w:r>
        <w:rPr>
          <w:rFonts w:ascii="黑体" w:hAnsi="宋体" w:eastAsia="黑体"/>
          <w:b/>
          <w:bCs/>
          <w:sz w:val="20"/>
          <w:szCs w:val="20"/>
        </w:rPr>
        <w:t>课程学习</w:t>
      </w:r>
      <w:r>
        <w:rPr>
          <w:rFonts w:hint="eastAsia" w:ascii="黑体" w:hAnsi="宋体" w:eastAsia="黑体"/>
          <w:b/>
          <w:bCs/>
          <w:sz w:val="20"/>
          <w:szCs w:val="20"/>
        </w:rPr>
        <w:t>目标</w:t>
      </w:r>
    </w:p>
    <w:tbl>
      <w:tblPr>
        <w:tblStyle w:val="4"/>
        <w:tblW w:w="8611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172"/>
        <w:gridCol w:w="3042"/>
        <w:gridCol w:w="2617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117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课程预期学习成果</w:t>
            </w:r>
          </w:p>
        </w:tc>
        <w:tc>
          <w:tcPr>
            <w:tcW w:w="3042" w:type="dxa"/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课程目标（细化的预期学习成果）</w:t>
            </w:r>
          </w:p>
        </w:tc>
        <w:tc>
          <w:tcPr>
            <w:tcW w:w="261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教与学方式</w:t>
            </w:r>
          </w:p>
        </w:tc>
        <w:tc>
          <w:tcPr>
            <w:tcW w:w="118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59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LO21</w:t>
            </w: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42" w:type="dxa"/>
            <w:vAlign w:val="center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主动自觉地通过搜集、分析信息、讨论、实践、质疑、创造等方法来实现学习目标。</w:t>
            </w:r>
          </w:p>
        </w:tc>
        <w:tc>
          <w:tcPr>
            <w:tcW w:w="2617" w:type="dxa"/>
            <w:vAlign w:val="center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教师讲授相关课程内容，并发布项目内容，组织学生搜集、整理并汇报</w:t>
            </w:r>
          </w:p>
        </w:tc>
        <w:tc>
          <w:tcPr>
            <w:tcW w:w="118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小组项目报告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59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LO711</w:t>
            </w:r>
          </w:p>
        </w:tc>
        <w:tc>
          <w:tcPr>
            <w:tcW w:w="3042" w:type="dxa"/>
            <w:vAlign w:val="center"/>
          </w:tcPr>
          <w:p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2617" w:type="dxa"/>
            <w:vAlign w:val="center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教师讲授相关课程内容，指导学生收集资料，并归纳，以个人PPT形式进行整理</w:t>
            </w:r>
          </w:p>
        </w:tc>
        <w:tc>
          <w:tcPr>
            <w:tcW w:w="118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个人汇报PPT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9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72" w:type="dxa"/>
            <w:vMerge w:val="restart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LO311</w:t>
            </w:r>
          </w:p>
        </w:tc>
        <w:tc>
          <w:tcPr>
            <w:tcW w:w="3042" w:type="dxa"/>
            <w:vMerge w:val="restart"/>
            <w:vAlign w:val="center"/>
          </w:tcPr>
          <w:p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能全面系统地掌握设计与审美的基本理论，并能独立完成对设计作品与艺术作品的赏析。</w:t>
            </w:r>
          </w:p>
        </w:tc>
        <w:tc>
          <w:tcPr>
            <w:tcW w:w="2617" w:type="dxa"/>
            <w:vAlign w:val="center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教师讲授相关课程内容，指导学生收集资料，并归纳，以个人PPT形式进行进行整理</w:t>
            </w:r>
          </w:p>
        </w:tc>
        <w:tc>
          <w:tcPr>
            <w:tcW w:w="118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个人汇报PPT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9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72" w:type="dxa"/>
            <w:vMerge w:val="continue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 w:val="continue"/>
            <w:vAlign w:val="center"/>
          </w:tcPr>
          <w:p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center"/>
          </w:tcPr>
          <w:p>
            <w:pPr>
              <w:snapToGrid w:val="0"/>
              <w:spacing w:line="288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教师讲授相关课程内容，指导学生收集资料，并归纳，以个人PPT形式进行进行整理</w:t>
            </w:r>
          </w:p>
        </w:tc>
        <w:tc>
          <w:tcPr>
            <w:tcW w:w="118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个人汇报PPT</w:t>
            </w:r>
          </w:p>
        </w:tc>
      </w:tr>
    </w:tbl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0"/>
          <w:szCs w:val="20"/>
        </w:rPr>
      </w:pP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0"/>
          <w:szCs w:val="20"/>
        </w:rPr>
      </w:pP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b/>
          <w:bCs/>
          <w:sz w:val="20"/>
          <w:szCs w:val="20"/>
        </w:rPr>
      </w:pPr>
      <w:r>
        <w:rPr>
          <w:rFonts w:hint="eastAsia" w:ascii="黑体" w:hAnsi="宋体" w:eastAsia="黑体"/>
          <w:b/>
          <w:bCs/>
          <w:sz w:val="20"/>
          <w:szCs w:val="20"/>
        </w:rPr>
        <w:t>六、</w:t>
      </w:r>
      <w:r>
        <w:rPr>
          <w:rFonts w:ascii="黑体" w:hAnsi="宋体" w:eastAsia="黑体"/>
          <w:b/>
          <w:bCs/>
          <w:sz w:val="20"/>
          <w:szCs w:val="20"/>
        </w:rPr>
        <w:t>课程内容</w:t>
      </w:r>
    </w:p>
    <w:p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总学时：48学时，理论讲授。</w:t>
      </w:r>
    </w:p>
    <w:p>
      <w:pPr>
        <w:rPr>
          <w:rFonts w:ascii="宋体" w:hAnsi="宋体"/>
          <w:bCs/>
          <w:sz w:val="20"/>
          <w:szCs w:val="20"/>
        </w:rPr>
      </w:pPr>
      <w:r>
        <w:rPr>
          <w:rFonts w:hint="eastAsia"/>
          <w:sz w:val="20"/>
          <w:szCs w:val="20"/>
        </w:rPr>
        <w:t xml:space="preserve">第一单元 课程概述                                      （1）学时          </w:t>
      </w:r>
    </w:p>
    <w:p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知识点： 1、首饰的概念及构成</w:t>
      </w:r>
    </w:p>
    <w:p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2、首饰设计与制作的关系</w:t>
      </w:r>
    </w:p>
    <w:p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3、首饰的风格划分</w:t>
      </w:r>
    </w:p>
    <w:p>
      <w:pPr>
        <w:widowControl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知识点层次：理解-赏析</w:t>
      </w:r>
    </w:p>
    <w:p>
      <w:pPr>
        <w:widowControl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能力要求：能够理解首饰的基本概念与范围。</w:t>
      </w:r>
    </w:p>
    <w:p>
      <w:pPr>
        <w:widowControl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教学难点：从广义范畴上认知首饰的概念。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第二单元 中国首饰发展史                        （15）学时          </w:t>
      </w:r>
    </w:p>
    <w:p>
      <w:pPr>
        <w:rPr>
          <w:rFonts w:ascii="宋体" w:hAnsi="宋体"/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>知识点：  1、</w:t>
      </w:r>
      <w:r>
        <w:rPr>
          <w:rFonts w:hint="eastAsia" w:ascii="宋体" w:hAnsi="宋体"/>
          <w:kern w:val="0"/>
          <w:sz w:val="20"/>
          <w:szCs w:val="20"/>
        </w:rPr>
        <w:t>发饰品研究</w:t>
      </w:r>
    </w:p>
    <w:p>
      <w:pPr>
        <w:ind w:firstLine="1000" w:firstLineChars="500"/>
        <w:rPr>
          <w:rFonts w:ascii="宋体" w:hAnsi="宋体"/>
          <w:kern w:val="0"/>
          <w:sz w:val="20"/>
          <w:szCs w:val="20"/>
        </w:rPr>
      </w:pPr>
      <w:r>
        <w:rPr>
          <w:rFonts w:hint="eastAsia" w:ascii="宋体" w:hAnsi="宋体"/>
          <w:kern w:val="0"/>
          <w:sz w:val="20"/>
          <w:szCs w:val="20"/>
        </w:rPr>
        <w:t>2、耳饰品研究</w:t>
      </w:r>
    </w:p>
    <w:p>
      <w:pPr>
        <w:ind w:firstLine="1000" w:firstLineChars="500"/>
        <w:rPr>
          <w:rFonts w:ascii="宋体" w:hAnsi="宋体"/>
          <w:kern w:val="0"/>
          <w:sz w:val="20"/>
          <w:szCs w:val="20"/>
        </w:rPr>
      </w:pPr>
      <w:r>
        <w:rPr>
          <w:rFonts w:hint="eastAsia" w:ascii="宋体" w:hAnsi="宋体"/>
          <w:kern w:val="0"/>
          <w:sz w:val="20"/>
          <w:szCs w:val="20"/>
        </w:rPr>
        <w:t>3、项饰品研究</w:t>
      </w:r>
    </w:p>
    <w:p>
      <w:pPr>
        <w:ind w:firstLine="1000" w:firstLineChars="500"/>
        <w:rPr>
          <w:rFonts w:ascii="宋体" w:hAnsi="宋体"/>
          <w:kern w:val="0"/>
          <w:sz w:val="20"/>
          <w:szCs w:val="20"/>
        </w:rPr>
      </w:pPr>
      <w:r>
        <w:rPr>
          <w:rFonts w:hint="eastAsia" w:ascii="宋体" w:hAnsi="宋体"/>
          <w:kern w:val="0"/>
          <w:sz w:val="20"/>
          <w:szCs w:val="20"/>
        </w:rPr>
        <w:t>4、手饰品研究</w:t>
      </w:r>
    </w:p>
    <w:p>
      <w:pPr>
        <w:ind w:firstLine="1000" w:firstLineChars="500"/>
        <w:rPr>
          <w:sz w:val="20"/>
          <w:szCs w:val="20"/>
        </w:rPr>
      </w:pPr>
      <w:r>
        <w:rPr>
          <w:rFonts w:hint="eastAsia" w:ascii="宋体" w:hAnsi="宋体"/>
          <w:kern w:val="0"/>
          <w:sz w:val="20"/>
          <w:szCs w:val="20"/>
        </w:rPr>
        <w:t>5、挂饰品研究</w:t>
      </w:r>
    </w:p>
    <w:p>
      <w:pPr>
        <w:widowControl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知识点层次：理解-赏析</w:t>
      </w:r>
    </w:p>
    <w:p>
      <w:pPr>
        <w:widowControl/>
        <w:ind w:left="1400" w:hanging="1400" w:hangingChars="700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能力要求：1、能够对中国古代首饰品的佩戴方式、佩戴习惯、佩戴礼节等方面有一定的认识与理解；</w:t>
      </w:r>
    </w:p>
    <w:p>
      <w:pPr>
        <w:widowControl/>
        <w:ind w:left="1400" w:hanging="1400" w:hangingChars="700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          2、能够简述中国古代首饰发展的两个巅峰时期。</w:t>
      </w:r>
    </w:p>
    <w:p>
      <w:pPr>
        <w:widowControl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教学难点：梳理并总结相关首饰的发展历程。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第三单元  世界首饰发展史                              （8）学时          </w:t>
      </w:r>
    </w:p>
    <w:p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知识点： 1、首饰起源说</w:t>
      </w:r>
    </w:p>
    <w:p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2、埃及首饰（公元前1500-前900年）</w:t>
      </w:r>
    </w:p>
    <w:p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3、地中海-罗马不列颠（公元前325年-公元600年）</w:t>
      </w:r>
    </w:p>
    <w:p>
      <w:pPr>
        <w:ind w:firstLine="800" w:firstLineChars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4、欧洲（1000-1700）</w:t>
      </w:r>
    </w:p>
    <w:p>
      <w:pPr>
        <w:ind w:firstLine="900" w:firstLineChars="450"/>
        <w:rPr>
          <w:sz w:val="20"/>
          <w:szCs w:val="20"/>
        </w:rPr>
      </w:pPr>
      <w:r>
        <w:rPr>
          <w:rFonts w:hint="eastAsia"/>
          <w:sz w:val="20"/>
          <w:szCs w:val="20"/>
        </w:rPr>
        <w:t>5、世界工艺美术运动-新艺术运动（1700-1950）</w:t>
      </w:r>
    </w:p>
    <w:p>
      <w:pPr>
        <w:widowControl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知识点层次：理解-赏析</w:t>
      </w:r>
    </w:p>
    <w:p>
      <w:pPr>
        <w:widowControl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能力要求：1、知道早期打造珠宝首饰的技艺与材质；</w:t>
      </w:r>
    </w:p>
    <w:p>
      <w:pPr>
        <w:widowControl/>
        <w:numPr>
          <w:ilvl w:val="0"/>
          <w:numId w:val="2"/>
        </w:numPr>
        <w:ind w:firstLine="1000" w:firstLineChars="500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明确不同时期极具代表性的珠宝款式风格与工艺特征。</w:t>
      </w:r>
    </w:p>
    <w:p>
      <w:pPr>
        <w:widowControl/>
        <w:ind w:left="1000" w:hanging="1000" w:hangingChars="500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教学难点：通过本章节学习可以对珠宝首饰的文化、种类、式样、材质、工艺等多方面进行归纳与思考。</w:t>
      </w:r>
    </w:p>
    <w:p>
      <w:pPr>
        <w:widowControl/>
        <w:jc w:val="left"/>
        <w:rPr>
          <w:rFonts w:ascii="宋体" w:hAnsi="宋体"/>
          <w:sz w:val="20"/>
          <w:szCs w:val="20"/>
        </w:rPr>
      </w:pPr>
    </w:p>
    <w:p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第四单元  珠宝首饰品牌                              （16）学时          </w:t>
      </w:r>
    </w:p>
    <w:p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知识点： 1、法国珠宝品牌</w:t>
      </w:r>
    </w:p>
    <w:p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2、意大利珠宝品牌</w:t>
      </w:r>
    </w:p>
    <w:p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3、美国珠宝品牌</w:t>
      </w:r>
    </w:p>
    <w:p>
      <w:pPr>
        <w:ind w:firstLine="800" w:firstLineChars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4、其他地区珠宝品牌</w:t>
      </w:r>
    </w:p>
    <w:p>
      <w:pPr>
        <w:ind w:firstLine="900" w:firstLineChars="450"/>
        <w:rPr>
          <w:sz w:val="20"/>
          <w:szCs w:val="20"/>
        </w:rPr>
      </w:pPr>
      <w:r>
        <w:rPr>
          <w:rFonts w:hint="eastAsia"/>
          <w:sz w:val="20"/>
          <w:szCs w:val="20"/>
        </w:rPr>
        <w:t>5、中国珠宝品牌与调研</w:t>
      </w:r>
    </w:p>
    <w:p>
      <w:pPr>
        <w:widowControl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知识点层次：理解-知道</w:t>
      </w:r>
    </w:p>
    <w:p>
      <w:pPr>
        <w:widowControl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能力要求：1、能够理解并表述相关珠宝品牌的兴起环境与市场因素；</w:t>
      </w:r>
    </w:p>
    <w:p>
      <w:pPr>
        <w:widowControl/>
        <w:ind w:firstLine="1000" w:firstLineChars="500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2、对相关品牌的工艺特点有一定的理论把握。</w:t>
      </w:r>
    </w:p>
    <w:p>
      <w:pPr>
        <w:widowControl/>
        <w:ind w:left="1000" w:hanging="1000" w:hangingChars="500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教学难点：客观评价相关珠宝品牌的发展现状，同时对中国本土珠宝品牌的发展方向有一定的自我判断。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第五单元  当代艺术首饰及项目汇报                     （8）学时          </w:t>
      </w:r>
    </w:p>
    <w:p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知识点： 1、国际当代首饰风格</w:t>
      </w:r>
    </w:p>
    <w:p>
      <w:pPr>
        <w:numPr>
          <w:ilvl w:val="0"/>
          <w:numId w:val="3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中国当代首饰风格</w:t>
      </w:r>
    </w:p>
    <w:p>
      <w:pPr>
        <w:widowControl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知识点层次：理解-知道</w:t>
      </w:r>
    </w:p>
    <w:p>
      <w:pPr>
        <w:widowControl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能力要求：1、能够通过本章的学习了解当代艺术首饰的发展情况；</w:t>
      </w:r>
    </w:p>
    <w:p>
      <w:pPr>
        <w:widowControl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          2、能够通过自主学习的方式对中国当代首饰的发展情况进行梳理，完成项目汇报。</w:t>
      </w:r>
    </w:p>
    <w:p>
      <w:pPr>
        <w:widowControl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教学难点：分析整理当代首饰作品的设计特点与工艺特征。</w:t>
      </w:r>
    </w:p>
    <w:p>
      <w:pPr>
        <w:widowControl/>
        <w:jc w:val="left"/>
        <w:rPr>
          <w:rFonts w:ascii="宋体" w:hAnsi="宋体"/>
          <w:sz w:val="20"/>
          <w:szCs w:val="20"/>
        </w:rPr>
      </w:pP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b/>
          <w:bCs/>
          <w:sz w:val="20"/>
          <w:szCs w:val="20"/>
        </w:rPr>
      </w:pPr>
      <w:r>
        <w:rPr>
          <w:rFonts w:hint="eastAsia" w:ascii="黑体" w:hAnsi="宋体" w:eastAsia="黑体"/>
          <w:b/>
          <w:bCs/>
          <w:sz w:val="20"/>
          <w:szCs w:val="20"/>
        </w:rPr>
        <w:t>七、评价方式与成绩</w:t>
      </w:r>
    </w:p>
    <w:tbl>
      <w:tblPr>
        <w:tblStyle w:val="4"/>
        <w:tblW w:w="8127" w:type="dxa"/>
        <w:tblInd w:w="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413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11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总评构成（</w:t>
            </w:r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）</w:t>
            </w:r>
          </w:p>
        </w:tc>
        <w:tc>
          <w:tcPr>
            <w:tcW w:w="4132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评价方式</w:t>
            </w:r>
          </w:p>
        </w:tc>
        <w:tc>
          <w:tcPr>
            <w:tcW w:w="1984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占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X1</w:t>
            </w:r>
          </w:p>
        </w:tc>
        <w:tc>
          <w:tcPr>
            <w:tcW w:w="4132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小组</w:t>
            </w:r>
            <w:r>
              <w:rPr>
                <w:rFonts w:ascii="宋体" w:hAnsi="宋体"/>
                <w:sz w:val="20"/>
                <w:szCs w:val="20"/>
              </w:rPr>
              <w:t>项目报告</w:t>
            </w:r>
          </w:p>
        </w:tc>
        <w:tc>
          <w:tcPr>
            <w:tcW w:w="1984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X2</w:t>
            </w:r>
          </w:p>
        </w:tc>
        <w:tc>
          <w:tcPr>
            <w:tcW w:w="4132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平时作业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</w:t>
            </w:r>
            <w:r>
              <w:rPr>
                <w:rFonts w:ascii="宋体" w:hAnsi="宋体"/>
                <w:bCs/>
                <w:sz w:val="20"/>
                <w:szCs w:val="20"/>
              </w:rPr>
              <w:t>3</w:t>
            </w:r>
          </w:p>
        </w:tc>
        <w:tc>
          <w:tcPr>
            <w:tcW w:w="4132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平时作业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X4</w:t>
            </w:r>
          </w:p>
        </w:tc>
        <w:tc>
          <w:tcPr>
            <w:tcW w:w="4132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平时作业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20%</w:t>
            </w:r>
          </w:p>
        </w:tc>
      </w:tr>
    </w:tbl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</w:p>
    <w:p>
      <w:pPr>
        <w:spacing w:line="288" w:lineRule="auto"/>
        <w:jc w:val="right"/>
        <w:rPr>
          <w:szCs w:val="21"/>
        </w:rPr>
      </w:pPr>
    </w:p>
    <w:p>
      <w:pPr>
        <w:snapToGrid w:val="0"/>
        <w:spacing w:line="288" w:lineRule="auto"/>
        <w:ind w:firstLine="630" w:firstLineChars="300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撰写人：</w:t>
      </w:r>
      <w:r>
        <w:rPr>
          <w:rFonts w:hint="eastAsia"/>
          <w:szCs w:val="21"/>
          <w:lang w:val="en-US" w:eastAsia="zh-CN"/>
        </w:rPr>
        <w:t>鲍杨艺</w:t>
      </w:r>
      <w:r>
        <w:rPr>
          <w:rFonts w:hint="eastAsia"/>
          <w:szCs w:val="21"/>
        </w:rPr>
        <w:t xml:space="preserve">      系主任审核：</w:t>
      </w:r>
      <w:r>
        <w:rPr>
          <w:rFonts w:hint="eastAsia"/>
          <w:szCs w:val="21"/>
          <w:lang w:val="en-US" w:eastAsia="zh-CN"/>
        </w:rPr>
        <w:t>李亭雨</w:t>
      </w:r>
      <w:r>
        <w:rPr>
          <w:rFonts w:hint="eastAsia"/>
          <w:szCs w:val="21"/>
        </w:rPr>
        <w:t xml:space="preserve">     审核</w:t>
      </w:r>
      <w:r>
        <w:rPr>
          <w:rFonts w:hint="eastAsia"/>
          <w:color w:val="000000"/>
          <w:szCs w:val="21"/>
        </w:rPr>
        <w:t>时间</w:t>
      </w:r>
      <w:r>
        <w:rPr>
          <w:rFonts w:hint="eastAsia"/>
          <w:szCs w:val="21"/>
        </w:rPr>
        <w:t>：20</w:t>
      </w:r>
      <w:r>
        <w:rPr>
          <w:szCs w:val="21"/>
        </w:rPr>
        <w:t>2</w:t>
      </w:r>
      <w:r>
        <w:rPr>
          <w:rFonts w:hint="eastAsia"/>
          <w:szCs w:val="21"/>
          <w:lang w:val="en-US" w:eastAsia="zh-CN"/>
        </w:rPr>
        <w:t>1.09.01</w:t>
      </w:r>
      <w:bookmarkStart w:id="1" w:name="_GoBack"/>
      <w:bookmarkEnd w:id="1"/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LVkea1AAAAAgBAAAPAAAAAAAAAAEAIAAAACIAAABkcnMvZG93bnJl&#10;di54bWxQSwECFAAUAAAACACHTuJAuUZcoToCAABPBAAADgAAAAAAAAABACAAAAAjAQAAZHJzL2Uy&#10;b0RvYy54bWxQSwUGAAAAAAYABgBZAQAAzwUAAAAA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jc w:val="left"/>
                  <w:rPr>
                    <w:rFonts w:ascii="宋体" w:hAnsi="宋体"/>
                    <w:spacing w:val="20"/>
                    <w:sz w:val="24"/>
                    <w:szCs w:val="24"/>
                  </w:rPr>
                </w:pPr>
                <w:r>
                  <w:rPr>
                    <w:rFonts w:hint="eastAsia" w:ascii="宋体" w:hAnsi="宋体"/>
                    <w:spacing w:val="20"/>
                    <w:sz w:val="24"/>
                    <w:szCs w:val="24"/>
                  </w:rPr>
                  <w:t>SJQU-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Q</w:t>
                </w:r>
                <w:r>
                  <w:rPr>
                    <w:rFonts w:hint="eastAsia" w:ascii="宋体" w:hAnsi="宋体"/>
                    <w:spacing w:val="20"/>
                    <w:sz w:val="24"/>
                    <w:szCs w:val="24"/>
                  </w:rPr>
                  <w:t>R-JW-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</w:t>
                </w:r>
                <w:r>
                  <w:rPr>
                    <w:rFonts w:hint="eastAsia" w:ascii="宋体" w:hAnsi="宋体"/>
                    <w:spacing w:val="20"/>
                    <w:sz w:val="24"/>
                    <w:szCs w:val="24"/>
                  </w:rPr>
                  <w:t>33（A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0）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42F28B"/>
    <w:multiLevelType w:val="singleLevel"/>
    <w:tmpl w:val="DF42F28B"/>
    <w:lvl w:ilvl="0" w:tentative="0">
      <w:start w:val="2"/>
      <w:numFmt w:val="decimal"/>
      <w:suff w:val="nothing"/>
      <w:lvlText w:val="%1、"/>
      <w:lvlJc w:val="left"/>
      <w:pPr>
        <w:ind w:left="900" w:firstLine="0"/>
      </w:pPr>
    </w:lvl>
  </w:abstractNum>
  <w:abstractNum w:abstractNumId="1">
    <w:nsid w:val="2F9C27B9"/>
    <w:multiLevelType w:val="singleLevel"/>
    <w:tmpl w:val="2F9C27B9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95B2B74"/>
    <w:multiLevelType w:val="singleLevel"/>
    <w:tmpl w:val="595B2B74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11228"/>
    <w:rsid w:val="00016B75"/>
    <w:rsid w:val="0002289E"/>
    <w:rsid w:val="000230E0"/>
    <w:rsid w:val="00023EF4"/>
    <w:rsid w:val="000349FF"/>
    <w:rsid w:val="000501AD"/>
    <w:rsid w:val="000630DA"/>
    <w:rsid w:val="0006674B"/>
    <w:rsid w:val="000670F8"/>
    <w:rsid w:val="00075A4B"/>
    <w:rsid w:val="00080AD8"/>
    <w:rsid w:val="0008206F"/>
    <w:rsid w:val="00086167"/>
    <w:rsid w:val="00096836"/>
    <w:rsid w:val="000B0109"/>
    <w:rsid w:val="000B52E9"/>
    <w:rsid w:val="000C7008"/>
    <w:rsid w:val="000D5403"/>
    <w:rsid w:val="000F215C"/>
    <w:rsid w:val="001072BC"/>
    <w:rsid w:val="00121C24"/>
    <w:rsid w:val="0013757A"/>
    <w:rsid w:val="0014096B"/>
    <w:rsid w:val="00151BFE"/>
    <w:rsid w:val="00174DD5"/>
    <w:rsid w:val="001777E7"/>
    <w:rsid w:val="001A35A9"/>
    <w:rsid w:val="001A73C3"/>
    <w:rsid w:val="001B1169"/>
    <w:rsid w:val="001C29AC"/>
    <w:rsid w:val="001C3369"/>
    <w:rsid w:val="001E37A4"/>
    <w:rsid w:val="001F24C4"/>
    <w:rsid w:val="001F2891"/>
    <w:rsid w:val="001F7A57"/>
    <w:rsid w:val="00203856"/>
    <w:rsid w:val="00221263"/>
    <w:rsid w:val="00240F9B"/>
    <w:rsid w:val="002473AC"/>
    <w:rsid w:val="00256B39"/>
    <w:rsid w:val="0026033C"/>
    <w:rsid w:val="002745D6"/>
    <w:rsid w:val="00282880"/>
    <w:rsid w:val="00290A79"/>
    <w:rsid w:val="00297238"/>
    <w:rsid w:val="002A4575"/>
    <w:rsid w:val="002B12D1"/>
    <w:rsid w:val="002B1D41"/>
    <w:rsid w:val="002B74C1"/>
    <w:rsid w:val="002C0784"/>
    <w:rsid w:val="002D1BE4"/>
    <w:rsid w:val="002D72D8"/>
    <w:rsid w:val="002E3721"/>
    <w:rsid w:val="003041E8"/>
    <w:rsid w:val="00310DA5"/>
    <w:rsid w:val="00313BBA"/>
    <w:rsid w:val="0032602E"/>
    <w:rsid w:val="003367AE"/>
    <w:rsid w:val="00357F9A"/>
    <w:rsid w:val="00372B31"/>
    <w:rsid w:val="003A3C45"/>
    <w:rsid w:val="003B1258"/>
    <w:rsid w:val="003B246C"/>
    <w:rsid w:val="003B2A96"/>
    <w:rsid w:val="003B307A"/>
    <w:rsid w:val="003B638F"/>
    <w:rsid w:val="003D330D"/>
    <w:rsid w:val="003D6BA4"/>
    <w:rsid w:val="003D7410"/>
    <w:rsid w:val="00403BAC"/>
    <w:rsid w:val="00405761"/>
    <w:rsid w:val="00406B4A"/>
    <w:rsid w:val="004100B0"/>
    <w:rsid w:val="0041349C"/>
    <w:rsid w:val="0041358A"/>
    <w:rsid w:val="00425D33"/>
    <w:rsid w:val="00441828"/>
    <w:rsid w:val="00443204"/>
    <w:rsid w:val="00447EF4"/>
    <w:rsid w:val="00463BBA"/>
    <w:rsid w:val="00463EE3"/>
    <w:rsid w:val="00467B6C"/>
    <w:rsid w:val="00476729"/>
    <w:rsid w:val="004875FA"/>
    <w:rsid w:val="004910E5"/>
    <w:rsid w:val="00497382"/>
    <w:rsid w:val="004979D3"/>
    <w:rsid w:val="004A4F10"/>
    <w:rsid w:val="004A6A14"/>
    <w:rsid w:val="004C352E"/>
    <w:rsid w:val="004D1C89"/>
    <w:rsid w:val="004D5651"/>
    <w:rsid w:val="004D6683"/>
    <w:rsid w:val="004E1124"/>
    <w:rsid w:val="004F3383"/>
    <w:rsid w:val="00502921"/>
    <w:rsid w:val="00513984"/>
    <w:rsid w:val="00513DD0"/>
    <w:rsid w:val="00520B3B"/>
    <w:rsid w:val="00536EE0"/>
    <w:rsid w:val="00540590"/>
    <w:rsid w:val="005467DC"/>
    <w:rsid w:val="00553D03"/>
    <w:rsid w:val="00555067"/>
    <w:rsid w:val="00583A15"/>
    <w:rsid w:val="00585C80"/>
    <w:rsid w:val="0058628E"/>
    <w:rsid w:val="005A23D5"/>
    <w:rsid w:val="005B2B6D"/>
    <w:rsid w:val="005B4B4E"/>
    <w:rsid w:val="005C30BF"/>
    <w:rsid w:val="005D44CC"/>
    <w:rsid w:val="005F5D72"/>
    <w:rsid w:val="006002ED"/>
    <w:rsid w:val="0060252F"/>
    <w:rsid w:val="006039E6"/>
    <w:rsid w:val="00611BFA"/>
    <w:rsid w:val="00624FE1"/>
    <w:rsid w:val="00634BA0"/>
    <w:rsid w:val="00635020"/>
    <w:rsid w:val="00640B67"/>
    <w:rsid w:val="00653A14"/>
    <w:rsid w:val="00655368"/>
    <w:rsid w:val="006637F9"/>
    <w:rsid w:val="006740DE"/>
    <w:rsid w:val="00694374"/>
    <w:rsid w:val="006A16AF"/>
    <w:rsid w:val="006A41A3"/>
    <w:rsid w:val="006B0CD4"/>
    <w:rsid w:val="006B1C43"/>
    <w:rsid w:val="006B4583"/>
    <w:rsid w:val="006B57A9"/>
    <w:rsid w:val="006D1D99"/>
    <w:rsid w:val="006D5B3F"/>
    <w:rsid w:val="006D6F48"/>
    <w:rsid w:val="006E5003"/>
    <w:rsid w:val="007106AA"/>
    <w:rsid w:val="007208D6"/>
    <w:rsid w:val="007353F4"/>
    <w:rsid w:val="00757CBC"/>
    <w:rsid w:val="00761EE2"/>
    <w:rsid w:val="00790B5B"/>
    <w:rsid w:val="007A38EE"/>
    <w:rsid w:val="007B27E4"/>
    <w:rsid w:val="007B4732"/>
    <w:rsid w:val="007D3019"/>
    <w:rsid w:val="007D4E67"/>
    <w:rsid w:val="007D5ECE"/>
    <w:rsid w:val="0080613A"/>
    <w:rsid w:val="008107CD"/>
    <w:rsid w:val="0081765F"/>
    <w:rsid w:val="0082082F"/>
    <w:rsid w:val="00822BEA"/>
    <w:rsid w:val="00836721"/>
    <w:rsid w:val="00840BB4"/>
    <w:rsid w:val="00840C92"/>
    <w:rsid w:val="00853BF7"/>
    <w:rsid w:val="00885845"/>
    <w:rsid w:val="00897306"/>
    <w:rsid w:val="008B0953"/>
    <w:rsid w:val="008B3607"/>
    <w:rsid w:val="008B397C"/>
    <w:rsid w:val="008B47F4"/>
    <w:rsid w:val="008B5518"/>
    <w:rsid w:val="008C2D73"/>
    <w:rsid w:val="008F11BB"/>
    <w:rsid w:val="008F25D8"/>
    <w:rsid w:val="008F586F"/>
    <w:rsid w:val="008F6237"/>
    <w:rsid w:val="00900019"/>
    <w:rsid w:val="009000B6"/>
    <w:rsid w:val="009038AD"/>
    <w:rsid w:val="009142AD"/>
    <w:rsid w:val="009220C8"/>
    <w:rsid w:val="009239DB"/>
    <w:rsid w:val="009336A7"/>
    <w:rsid w:val="00941309"/>
    <w:rsid w:val="009425C6"/>
    <w:rsid w:val="00946FA9"/>
    <w:rsid w:val="00947B88"/>
    <w:rsid w:val="00947F2E"/>
    <w:rsid w:val="00955915"/>
    <w:rsid w:val="00961B33"/>
    <w:rsid w:val="009747F7"/>
    <w:rsid w:val="0099063E"/>
    <w:rsid w:val="009C539A"/>
    <w:rsid w:val="009C6389"/>
    <w:rsid w:val="009F3183"/>
    <w:rsid w:val="00A034CB"/>
    <w:rsid w:val="00A17B44"/>
    <w:rsid w:val="00A44345"/>
    <w:rsid w:val="00A47D68"/>
    <w:rsid w:val="00A50174"/>
    <w:rsid w:val="00A561E3"/>
    <w:rsid w:val="00A574F0"/>
    <w:rsid w:val="00A65082"/>
    <w:rsid w:val="00A65C12"/>
    <w:rsid w:val="00A769B1"/>
    <w:rsid w:val="00A843A3"/>
    <w:rsid w:val="00A95522"/>
    <w:rsid w:val="00A971FD"/>
    <w:rsid w:val="00AA776B"/>
    <w:rsid w:val="00AB2354"/>
    <w:rsid w:val="00AB60A2"/>
    <w:rsid w:val="00AC4C45"/>
    <w:rsid w:val="00AD6FD2"/>
    <w:rsid w:val="00AF315E"/>
    <w:rsid w:val="00AF4DB5"/>
    <w:rsid w:val="00AF5DB6"/>
    <w:rsid w:val="00B02EB8"/>
    <w:rsid w:val="00B047F5"/>
    <w:rsid w:val="00B26F25"/>
    <w:rsid w:val="00B3070B"/>
    <w:rsid w:val="00B46F21"/>
    <w:rsid w:val="00B511A5"/>
    <w:rsid w:val="00B52EE4"/>
    <w:rsid w:val="00B562BB"/>
    <w:rsid w:val="00B7149D"/>
    <w:rsid w:val="00B71994"/>
    <w:rsid w:val="00B736A7"/>
    <w:rsid w:val="00B7651F"/>
    <w:rsid w:val="00B86761"/>
    <w:rsid w:val="00B9025E"/>
    <w:rsid w:val="00BA4BC8"/>
    <w:rsid w:val="00C016C2"/>
    <w:rsid w:val="00C1623A"/>
    <w:rsid w:val="00C24C76"/>
    <w:rsid w:val="00C50CC0"/>
    <w:rsid w:val="00C522AD"/>
    <w:rsid w:val="00C56E09"/>
    <w:rsid w:val="00C64420"/>
    <w:rsid w:val="00C70D4A"/>
    <w:rsid w:val="00C77E72"/>
    <w:rsid w:val="00C85953"/>
    <w:rsid w:val="00C85AAD"/>
    <w:rsid w:val="00C93FE2"/>
    <w:rsid w:val="00C97C34"/>
    <w:rsid w:val="00CA321D"/>
    <w:rsid w:val="00CA3CF0"/>
    <w:rsid w:val="00CB1DE3"/>
    <w:rsid w:val="00CB3355"/>
    <w:rsid w:val="00CB5A06"/>
    <w:rsid w:val="00CD35C0"/>
    <w:rsid w:val="00CD45D7"/>
    <w:rsid w:val="00CD50FE"/>
    <w:rsid w:val="00CD5E81"/>
    <w:rsid w:val="00CE1983"/>
    <w:rsid w:val="00CE3D9E"/>
    <w:rsid w:val="00CE7E0B"/>
    <w:rsid w:val="00CF096B"/>
    <w:rsid w:val="00CF3F9C"/>
    <w:rsid w:val="00D10555"/>
    <w:rsid w:val="00D16765"/>
    <w:rsid w:val="00D32368"/>
    <w:rsid w:val="00D33539"/>
    <w:rsid w:val="00D40B43"/>
    <w:rsid w:val="00D41A96"/>
    <w:rsid w:val="00D45E9A"/>
    <w:rsid w:val="00D538E3"/>
    <w:rsid w:val="00D633BC"/>
    <w:rsid w:val="00D64438"/>
    <w:rsid w:val="00D66568"/>
    <w:rsid w:val="00D718AC"/>
    <w:rsid w:val="00D7310A"/>
    <w:rsid w:val="00D92417"/>
    <w:rsid w:val="00DB6147"/>
    <w:rsid w:val="00DC0A84"/>
    <w:rsid w:val="00DD0569"/>
    <w:rsid w:val="00DF0A3E"/>
    <w:rsid w:val="00E06BBE"/>
    <w:rsid w:val="00E12ED5"/>
    <w:rsid w:val="00E16D30"/>
    <w:rsid w:val="00E33169"/>
    <w:rsid w:val="00E3764A"/>
    <w:rsid w:val="00E56853"/>
    <w:rsid w:val="00E70904"/>
    <w:rsid w:val="00E71023"/>
    <w:rsid w:val="00E7103E"/>
    <w:rsid w:val="00E80800"/>
    <w:rsid w:val="00EA39E9"/>
    <w:rsid w:val="00EA4829"/>
    <w:rsid w:val="00EA4ACC"/>
    <w:rsid w:val="00EA67E7"/>
    <w:rsid w:val="00EC139A"/>
    <w:rsid w:val="00ED0DB1"/>
    <w:rsid w:val="00ED7278"/>
    <w:rsid w:val="00EF44B1"/>
    <w:rsid w:val="00EF7060"/>
    <w:rsid w:val="00F03774"/>
    <w:rsid w:val="00F03D2C"/>
    <w:rsid w:val="00F053F2"/>
    <w:rsid w:val="00F1652B"/>
    <w:rsid w:val="00F24143"/>
    <w:rsid w:val="00F26D9E"/>
    <w:rsid w:val="00F30212"/>
    <w:rsid w:val="00F30EAA"/>
    <w:rsid w:val="00F32E31"/>
    <w:rsid w:val="00F35AA0"/>
    <w:rsid w:val="00F41885"/>
    <w:rsid w:val="00F42EED"/>
    <w:rsid w:val="00F60796"/>
    <w:rsid w:val="00F74F35"/>
    <w:rsid w:val="00F86D69"/>
    <w:rsid w:val="00F94312"/>
    <w:rsid w:val="00FA0EC8"/>
    <w:rsid w:val="00FA3735"/>
    <w:rsid w:val="00FA7711"/>
    <w:rsid w:val="00FC7794"/>
    <w:rsid w:val="00FD053A"/>
    <w:rsid w:val="00FE09C1"/>
    <w:rsid w:val="00FE5368"/>
    <w:rsid w:val="00FF34D5"/>
    <w:rsid w:val="00FF4DE3"/>
    <w:rsid w:val="00FF5833"/>
    <w:rsid w:val="010B5FC6"/>
    <w:rsid w:val="024B0C39"/>
    <w:rsid w:val="02C161F4"/>
    <w:rsid w:val="09286546"/>
    <w:rsid w:val="09723488"/>
    <w:rsid w:val="0A025A39"/>
    <w:rsid w:val="0A8128A6"/>
    <w:rsid w:val="0BF32A1B"/>
    <w:rsid w:val="0E176241"/>
    <w:rsid w:val="0E6E7DD2"/>
    <w:rsid w:val="0F71014B"/>
    <w:rsid w:val="10BD2C22"/>
    <w:rsid w:val="194C0E3B"/>
    <w:rsid w:val="19552BD2"/>
    <w:rsid w:val="1AC70CAC"/>
    <w:rsid w:val="1BA36054"/>
    <w:rsid w:val="1CB0698D"/>
    <w:rsid w:val="210C777B"/>
    <w:rsid w:val="217E44EC"/>
    <w:rsid w:val="22987C80"/>
    <w:rsid w:val="24192CCC"/>
    <w:rsid w:val="252D627B"/>
    <w:rsid w:val="2B21742C"/>
    <w:rsid w:val="2BD722E3"/>
    <w:rsid w:val="2FB538B2"/>
    <w:rsid w:val="32455A3F"/>
    <w:rsid w:val="332729DB"/>
    <w:rsid w:val="39A66CD4"/>
    <w:rsid w:val="3AA349D4"/>
    <w:rsid w:val="3CD52CE1"/>
    <w:rsid w:val="410F2E6A"/>
    <w:rsid w:val="41A73CAC"/>
    <w:rsid w:val="4430136C"/>
    <w:rsid w:val="45716933"/>
    <w:rsid w:val="47A82B4B"/>
    <w:rsid w:val="485571EE"/>
    <w:rsid w:val="4AB0382B"/>
    <w:rsid w:val="4B1E5E6A"/>
    <w:rsid w:val="4C1C51E7"/>
    <w:rsid w:val="4DBC225C"/>
    <w:rsid w:val="55353DD0"/>
    <w:rsid w:val="569868B5"/>
    <w:rsid w:val="56A71792"/>
    <w:rsid w:val="5F592C0A"/>
    <w:rsid w:val="611F6817"/>
    <w:rsid w:val="66CA1754"/>
    <w:rsid w:val="6A3B2F91"/>
    <w:rsid w:val="6C724F08"/>
    <w:rsid w:val="6F1E65D4"/>
    <w:rsid w:val="6F266C86"/>
    <w:rsid w:val="6F5042C2"/>
    <w:rsid w:val="741B19CD"/>
    <w:rsid w:val="74316312"/>
    <w:rsid w:val="780F13C8"/>
    <w:rsid w:val="78FD39F9"/>
    <w:rsid w:val="7C385448"/>
    <w:rsid w:val="7D4633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504</Words>
  <Characters>2875</Characters>
  <Lines>23</Lines>
  <Paragraphs>6</Paragraphs>
  <TotalTime>25</TotalTime>
  <ScaleCrop>false</ScaleCrop>
  <LinksUpToDate>false</LinksUpToDate>
  <CharactersWithSpaces>3373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2020-06-02T10:51:00Z</dcterms:created>
  <dc:creator>juvg</dc:creator>
  <cp:lastModifiedBy>✨ Celine Bao ✨</cp:lastModifiedBy>
  <cp:lastPrinted>2019-09-25T04:08:00Z</cp:lastPrinted>
  <dcterms:modified xsi:type="dcterms:W3CDTF">2021-09-06T09:08:26Z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B30FA2633D5547F493931C7D8AE3BA63</vt:lpwstr>
  </property>
</Properties>
</file>