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085D" w:rsidRPr="006C6C04" w:rsidRDefault="0050085D">
      <w:pPr>
        <w:snapToGrid w:val="0"/>
        <w:jc w:val="center"/>
        <w:rPr>
          <w:rFonts w:ascii="Arial" w:eastAsia="宋体" w:hAnsi="Arial" w:cs="Arial"/>
          <w:sz w:val="6"/>
          <w:szCs w:val="6"/>
          <w:lang w:eastAsia="zh-CN"/>
        </w:rPr>
      </w:pPr>
    </w:p>
    <w:p w:rsidR="0050085D" w:rsidRPr="004A7B0E" w:rsidRDefault="0050085D">
      <w:pPr>
        <w:snapToGrid w:val="0"/>
        <w:jc w:val="center"/>
        <w:rPr>
          <w:rFonts w:ascii="Arial" w:hAnsi="Arial" w:cs="Arial"/>
          <w:sz w:val="6"/>
          <w:szCs w:val="6"/>
        </w:rPr>
      </w:pPr>
    </w:p>
    <w:p w:rsidR="0050085D" w:rsidRPr="004A7B0E" w:rsidRDefault="0050085D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黑体" w:cs="Arial" w:hint="eastAsia"/>
          <w:sz w:val="32"/>
          <w:szCs w:val="32"/>
        </w:rPr>
        <w:t>上海建桥学院</w:t>
      </w:r>
      <w:r w:rsidRPr="004A7B0E">
        <w:rPr>
          <w:rFonts w:ascii="Arial" w:eastAsia="黑体" w:hAnsi="黑体" w:cs="Arial" w:hint="eastAsia"/>
          <w:sz w:val="32"/>
          <w:szCs w:val="32"/>
          <w:lang w:eastAsia="zh-CN"/>
        </w:rPr>
        <w:t>课程教学进度计划表</w:t>
      </w:r>
    </w:p>
    <w:p w:rsidR="0050085D" w:rsidRPr="004A7B0E" w:rsidRDefault="0050085D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Arial" w:cs="Arial"/>
          <w:sz w:val="32"/>
          <w:szCs w:val="32"/>
          <w:lang w:eastAsia="zh-CN"/>
        </w:rPr>
        <w:t>Time Schedule for Teaching</w:t>
      </w:r>
    </w:p>
    <w:p w:rsidR="0050085D" w:rsidRPr="004A7B0E" w:rsidRDefault="0050085D" w:rsidP="00E02A05">
      <w:pPr>
        <w:snapToGrid w:val="0"/>
        <w:spacing w:beforeLines="5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一、基本信息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8"/>
        <w:gridCol w:w="1134"/>
        <w:gridCol w:w="3969"/>
      </w:tblGrid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2060512</w:t>
            </w:r>
          </w:p>
        </w:tc>
        <w:tc>
          <w:tcPr>
            <w:tcW w:w="1134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48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授课教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Wang Ping</w:t>
            </w:r>
          </w:p>
        </w:tc>
        <w:tc>
          <w:tcPr>
            <w:tcW w:w="1134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0085D" w:rsidRPr="004A7B0E" w:rsidRDefault="0050085D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16025@gench.edu.cn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sz w:val="21"/>
                <w:szCs w:val="21"/>
                <w:lang w:eastAsia="zh-CN"/>
              </w:rPr>
              <w:t>上课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0085D" w:rsidRPr="004A7B0E" w:rsidRDefault="0050085D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  <w:t>B18-4</w:t>
            </w:r>
          </w:p>
        </w:tc>
        <w:tc>
          <w:tcPr>
            <w:tcW w:w="1134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0085D" w:rsidRPr="00457829" w:rsidRDefault="0050085D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b/>
                <w:color w:val="FF0000"/>
                <w:sz w:val="21"/>
                <w:szCs w:val="21"/>
                <w:lang w:eastAsia="zh-CN"/>
              </w:rPr>
            </w:pPr>
            <w:r w:rsidRPr="00457829">
              <w:rPr>
                <w:rFonts w:ascii="Arial" w:eastAsia="宋体" w:hAnsi="Arial" w:cs="Arial" w:hint="eastAsia"/>
                <w:b/>
                <w:color w:val="FF0000"/>
                <w:sz w:val="21"/>
                <w:szCs w:val="21"/>
                <w:lang w:eastAsia="zh-CN"/>
              </w:rPr>
              <w:t>待定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0085D" w:rsidRPr="001D1D03" w:rsidRDefault="0050085D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b/>
                <w:color w:val="FF0000"/>
                <w:kern w:val="0"/>
                <w:sz w:val="21"/>
                <w:szCs w:val="21"/>
                <w:lang w:eastAsia="zh-CN"/>
              </w:rPr>
            </w:pPr>
            <w:r w:rsidRPr="001D1D03">
              <w:rPr>
                <w:rFonts w:ascii="宋体" w:eastAsia="宋体" w:hAnsi="宋体" w:cs="Arial" w:hint="eastAsia"/>
                <w:b/>
                <w:color w:val="FF0000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0085D" w:rsidRPr="004A7B0E" w:rsidRDefault="0050085D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50085D" w:rsidRPr="004A7B0E">
        <w:trPr>
          <w:trHeight w:val="571"/>
        </w:trPr>
        <w:tc>
          <w:tcPr>
            <w:tcW w:w="1418" w:type="dxa"/>
            <w:vAlign w:val="center"/>
          </w:tcPr>
          <w:p w:rsidR="0050085D" w:rsidRPr="004A7B0E" w:rsidRDefault="0050085D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0085D" w:rsidRPr="004A7B0E" w:rsidRDefault="0050085D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管理学实用教程</w:t>
            </w:r>
          </w:p>
        </w:tc>
      </w:tr>
    </w:tbl>
    <w:p w:rsidR="0050085D" w:rsidRPr="004A7B0E" w:rsidRDefault="0050085D">
      <w:pPr>
        <w:snapToGrid w:val="0"/>
        <w:spacing w:line="340" w:lineRule="exact"/>
        <w:rPr>
          <w:rFonts w:ascii="Arial" w:eastAsia="宋体" w:hAnsi="Arial" w:cs="Arial"/>
          <w:b/>
          <w:color w:val="000000"/>
          <w:szCs w:val="20"/>
          <w:lang w:eastAsia="zh-CN"/>
        </w:rPr>
      </w:pPr>
    </w:p>
    <w:p w:rsidR="0050085D" w:rsidRPr="004A7B0E" w:rsidRDefault="0050085D" w:rsidP="00E02A05">
      <w:pPr>
        <w:snapToGrid w:val="0"/>
        <w:spacing w:beforeLines="5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Teaching Progress</w:t>
      </w: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3877"/>
        <w:gridCol w:w="1276"/>
        <w:gridCol w:w="2977"/>
      </w:tblGrid>
      <w:tr w:rsidR="0050085D" w:rsidRPr="001D1D03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1D1D03" w:rsidRDefault="0050085D" w:rsidP="00866229">
            <w:pPr>
              <w:widowControl/>
              <w:spacing w:line="300" w:lineRule="exact"/>
              <w:jc w:val="center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 w:rsidRPr="001D1D03">
              <w:rPr>
                <w:rFonts w:ascii="Arial" w:eastAsia="黑体" w:hAnsi="黑体" w:cs="Arial" w:hint="eastAsia"/>
                <w:b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1D1D03" w:rsidRDefault="0050085D" w:rsidP="00866229">
            <w:pPr>
              <w:widowControl/>
              <w:spacing w:line="300" w:lineRule="exact"/>
              <w:ind w:firstLine="357"/>
              <w:jc w:val="center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 w:rsidRPr="001D1D03">
              <w:rPr>
                <w:rFonts w:ascii="Arial" w:eastAsia="黑体" w:hAnsi="黑体" w:cs="Arial" w:hint="eastAsia"/>
                <w:b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1D1D03" w:rsidRDefault="0050085D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 w:rsidRPr="001D1D03">
              <w:rPr>
                <w:rFonts w:ascii="Arial" w:eastAsia="黑体" w:hAnsi="黑体" w:cs="Arial" w:hint="eastAsia"/>
                <w:b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1D1D03" w:rsidRDefault="0050085D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 w:rsidRPr="001D1D03">
              <w:rPr>
                <w:rFonts w:ascii="Arial" w:eastAsia="黑体" w:hAnsi="黑体" w:cs="Arial" w:hint="eastAsia"/>
                <w:b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tabs>
                <w:tab w:val="left" w:pos="5040"/>
              </w:tabs>
              <w:spacing w:line="300" w:lineRule="exact"/>
              <w:rPr>
                <w:rFonts w:hAnsi="宋体"/>
                <w:b/>
                <w:szCs w:val="21"/>
              </w:rPr>
            </w:pPr>
            <w:r w:rsidRPr="00866229">
              <w:rPr>
                <w:rFonts w:hAnsi="宋体"/>
                <w:b/>
                <w:szCs w:val="21"/>
              </w:rPr>
              <w:t>Unit 1: Managers and management</w:t>
            </w:r>
          </w:p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A036ED" w:rsidRDefault="0050085D" w:rsidP="00A036ED">
            <w:pPr>
              <w:tabs>
                <w:tab w:val="left" w:pos="5040"/>
              </w:tabs>
              <w:spacing w:line="300" w:lineRule="exact"/>
              <w:rPr>
                <w:rFonts w:eastAsia="宋体" w:hAnsi="宋体"/>
                <w:b/>
                <w:szCs w:val="21"/>
                <w:lang w:eastAsia="zh-CN"/>
              </w:rPr>
            </w:pPr>
            <w:r>
              <w:rPr>
                <w:rFonts w:hAnsi="宋体"/>
                <w:b/>
                <w:szCs w:val="21"/>
              </w:rPr>
              <w:t>Unit 1: Managers and management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作业一</w:t>
            </w: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2: Management environment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作业二</w:t>
            </w: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4: Planning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5: Organising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872AE2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6: Motivating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作业三</w:t>
            </w:r>
          </w:p>
        </w:tc>
      </w:tr>
      <w:tr w:rsidR="0050085D" w:rsidRPr="004A7B0E" w:rsidTr="00B41543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7: Leading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B41543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8: Communication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B41543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866229" w:rsidRDefault="0050085D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9: Controlling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710973">
            <w:pPr>
              <w:widowControl/>
              <w:tabs>
                <w:tab w:val="left" w:pos="830"/>
                <w:tab w:val="center" w:pos="1440"/>
              </w:tabs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0085D" w:rsidRPr="004A7B0E" w:rsidTr="00B41543">
        <w:trPr>
          <w:trHeight w:val="528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710973" w:rsidRDefault="0050085D" w:rsidP="00866229">
            <w:pPr>
              <w:widowControl/>
              <w:spacing w:line="300" w:lineRule="exact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  <w:t>Review and Final Check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0085D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50085D" w:rsidRPr="004A7B0E" w:rsidRDefault="0050085D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0085D" w:rsidRPr="004A7B0E" w:rsidRDefault="0050085D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0085D" w:rsidRPr="004A7B0E" w:rsidRDefault="0050085D">
      <w:pPr>
        <w:snapToGrid w:val="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</w:p>
    <w:p w:rsidR="0050085D" w:rsidRPr="004A7B0E" w:rsidRDefault="0050085D" w:rsidP="00E02A05">
      <w:pPr>
        <w:snapToGrid w:val="0"/>
        <w:spacing w:beforeLines="10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tbl>
      <w:tblPr>
        <w:tblpPr w:leftFromText="180" w:rightFromText="180" w:vertAnchor="text" w:horzAnchor="margin" w:tblpXSpec="center" w:tblpY="-53"/>
        <w:tblOverlap w:val="never"/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4476"/>
        <w:gridCol w:w="1560"/>
      </w:tblGrid>
      <w:tr w:rsidR="0050085D" w:rsidRPr="00FB23D8" w:rsidTr="000B01D5">
        <w:trPr>
          <w:trHeight w:val="931"/>
        </w:trPr>
        <w:tc>
          <w:tcPr>
            <w:tcW w:w="1512" w:type="dxa"/>
            <w:vAlign w:val="center"/>
          </w:tcPr>
          <w:p w:rsidR="0050085D" w:rsidRDefault="0050085D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总评构成</w:t>
            </w:r>
          </w:p>
          <w:p w:rsidR="0050085D" w:rsidRPr="00973868" w:rsidRDefault="0050085D" w:rsidP="000B01D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（</w:t>
            </w:r>
            <w:r w:rsidRPr="00973868">
              <w:rPr>
                <w:rFonts w:ascii="Arial" w:hAnsi="Arial" w:cs="Arial"/>
                <w:b/>
                <w:bCs/>
                <w:color w:val="000000"/>
              </w:rPr>
              <w:t>1+X</w:t>
            </w: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4476" w:type="dxa"/>
            <w:vAlign w:val="center"/>
          </w:tcPr>
          <w:p w:rsidR="0050085D" w:rsidRPr="00462267" w:rsidRDefault="0050085D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rFonts w:hint="eastAsia"/>
                <w:b/>
                <w:bCs/>
                <w:color w:val="000000"/>
                <w:szCs w:val="21"/>
              </w:rPr>
              <w:t>评价方式</w:t>
            </w:r>
          </w:p>
          <w:p w:rsidR="0050085D" w:rsidRPr="00462267" w:rsidRDefault="0050085D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b/>
                <w:bCs/>
                <w:color w:val="000000"/>
                <w:szCs w:val="21"/>
              </w:rPr>
              <w:t>Forms of evaluation</w:t>
            </w:r>
          </w:p>
        </w:tc>
        <w:tc>
          <w:tcPr>
            <w:tcW w:w="1560" w:type="dxa"/>
            <w:vAlign w:val="center"/>
          </w:tcPr>
          <w:p w:rsidR="0050085D" w:rsidRDefault="0050085D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占比</w:t>
            </w:r>
          </w:p>
          <w:p w:rsidR="0050085D" w:rsidRPr="00513875" w:rsidRDefault="0050085D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%</w:t>
            </w:r>
          </w:p>
        </w:tc>
      </w:tr>
      <w:tr w:rsidR="0050085D" w:rsidRPr="00FB23D8" w:rsidTr="000B01D5">
        <w:trPr>
          <w:trHeight w:val="774"/>
        </w:trPr>
        <w:tc>
          <w:tcPr>
            <w:tcW w:w="1512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4476" w:type="dxa"/>
            <w:vAlign w:val="center"/>
          </w:tcPr>
          <w:p w:rsidR="0050085D" w:rsidRPr="006F7DC8" w:rsidRDefault="0050085D" w:rsidP="00E02A05">
            <w:pPr>
              <w:snapToGrid w:val="0"/>
              <w:spacing w:beforeLines="50" w:afterLines="50"/>
              <w:jc w:val="center"/>
              <w:rPr>
                <w:rFonts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eastAsia="宋体"/>
                <w:bCs/>
                <w:color w:val="000000"/>
                <w:szCs w:val="21"/>
                <w:lang w:eastAsia="zh-CN"/>
              </w:rPr>
              <w:t>Course Report</w:t>
            </w:r>
          </w:p>
        </w:tc>
        <w:tc>
          <w:tcPr>
            <w:tcW w:w="1560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rFonts w:eastAsia="宋体"/>
                <w:bCs/>
                <w:color w:val="000000"/>
                <w:szCs w:val="21"/>
                <w:lang w:eastAsia="zh-CN"/>
              </w:rPr>
              <w:t>3</w:t>
            </w:r>
            <w:r w:rsidRPr="0027719D">
              <w:rPr>
                <w:bCs/>
                <w:color w:val="000000"/>
                <w:szCs w:val="21"/>
              </w:rPr>
              <w:t>0%</w:t>
            </w:r>
          </w:p>
        </w:tc>
      </w:tr>
      <w:tr w:rsidR="0050085D" w:rsidRPr="00FB23D8" w:rsidTr="000B01D5">
        <w:trPr>
          <w:trHeight w:val="756"/>
        </w:trPr>
        <w:tc>
          <w:tcPr>
            <w:tcW w:w="1512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X1</w:t>
            </w:r>
          </w:p>
        </w:tc>
        <w:tc>
          <w:tcPr>
            <w:tcW w:w="4476" w:type="dxa"/>
            <w:vAlign w:val="center"/>
          </w:tcPr>
          <w:p w:rsidR="0050085D" w:rsidRPr="00462267" w:rsidRDefault="0050085D" w:rsidP="000B01D5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Daily performance</w:t>
            </w:r>
          </w:p>
        </w:tc>
        <w:tc>
          <w:tcPr>
            <w:tcW w:w="1560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50085D" w:rsidRPr="00FB23D8" w:rsidTr="000B01D5">
        <w:trPr>
          <w:trHeight w:val="767"/>
        </w:trPr>
        <w:tc>
          <w:tcPr>
            <w:tcW w:w="1512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X2</w:t>
            </w:r>
          </w:p>
        </w:tc>
        <w:tc>
          <w:tcPr>
            <w:tcW w:w="4476" w:type="dxa"/>
            <w:vAlign w:val="center"/>
          </w:tcPr>
          <w:p w:rsidR="0050085D" w:rsidRPr="00462267" w:rsidRDefault="0050085D" w:rsidP="00E02A05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Home </w:t>
            </w:r>
            <w:r>
              <w:rPr>
                <w:rFonts w:ascii="宋体" w:eastAsia="宋体" w:hAnsi="宋体"/>
                <w:szCs w:val="21"/>
                <w:lang w:eastAsia="zh-CN"/>
              </w:rPr>
              <w:t>w</w:t>
            </w:r>
            <w:r>
              <w:rPr>
                <w:szCs w:val="21"/>
              </w:rPr>
              <w:t>orks</w:t>
            </w:r>
          </w:p>
        </w:tc>
        <w:tc>
          <w:tcPr>
            <w:tcW w:w="1560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  <w:r>
              <w:rPr>
                <w:rFonts w:eastAsia="宋体"/>
                <w:bCs/>
                <w:color w:val="000000"/>
                <w:szCs w:val="21"/>
                <w:lang w:eastAsia="zh-CN"/>
              </w:rPr>
              <w:t>5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50085D" w:rsidRPr="00FB23D8" w:rsidTr="000B01D5">
        <w:tc>
          <w:tcPr>
            <w:tcW w:w="1512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X3</w:t>
            </w:r>
          </w:p>
        </w:tc>
        <w:tc>
          <w:tcPr>
            <w:tcW w:w="4476" w:type="dxa"/>
            <w:vAlign w:val="center"/>
          </w:tcPr>
          <w:p w:rsidR="0050085D" w:rsidRPr="00462267" w:rsidRDefault="0050085D" w:rsidP="00E02A05">
            <w:pPr>
              <w:snapToGrid w:val="0"/>
              <w:spacing w:beforeLines="50" w:afterLine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Planning </w:t>
            </w:r>
            <w:r>
              <w:rPr>
                <w:rFonts w:eastAsia="宋体"/>
                <w:color w:val="000000"/>
                <w:szCs w:val="21"/>
                <w:lang w:eastAsia="zh-CN"/>
              </w:rPr>
              <w:t>r</w:t>
            </w:r>
            <w:r>
              <w:rPr>
                <w:color w:val="000000"/>
                <w:szCs w:val="21"/>
              </w:rPr>
              <w:t>eport</w:t>
            </w:r>
          </w:p>
        </w:tc>
        <w:tc>
          <w:tcPr>
            <w:tcW w:w="1560" w:type="dxa"/>
            <w:vAlign w:val="center"/>
          </w:tcPr>
          <w:p w:rsidR="0050085D" w:rsidRPr="0027719D" w:rsidRDefault="0050085D" w:rsidP="00E02A05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</w:t>
            </w:r>
            <w:r>
              <w:rPr>
                <w:rFonts w:eastAsia="宋体"/>
                <w:bCs/>
                <w:color w:val="000000"/>
                <w:szCs w:val="21"/>
                <w:lang w:eastAsia="zh-CN"/>
              </w:rPr>
              <w:t>5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</w:tbl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Default="0050085D">
      <w:pPr>
        <w:rPr>
          <w:rFonts w:ascii="Arial" w:eastAsia="宋体" w:hAnsi="Arial" w:cs="Arial"/>
          <w:lang w:eastAsia="zh-CN"/>
        </w:rPr>
      </w:pPr>
    </w:p>
    <w:p w:rsidR="0050085D" w:rsidRPr="00AC4E88" w:rsidRDefault="0050085D" w:rsidP="00E02A0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备注：</w:t>
      </w:r>
    </w:p>
    <w:p w:rsidR="0050085D" w:rsidRPr="00AC4E88" w:rsidRDefault="0050085D" w:rsidP="00E02A0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教学内容不宜简单地填写第几章、第几节，应就教学内容本身做简单明了的概括；</w:t>
      </w:r>
    </w:p>
    <w:p w:rsidR="0050085D" w:rsidRPr="00AC4E88" w:rsidRDefault="0050085D" w:rsidP="00E02A0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教学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方式为讲课、实验、讨论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课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习题课、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参观、边讲边练、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汇报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、考核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等；</w:t>
      </w:r>
    </w:p>
    <w:p w:rsidR="0050085D" w:rsidRPr="00AC4E88" w:rsidRDefault="0050085D" w:rsidP="00E02A0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评价方式为期末考试“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”及过程考核“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”，其中“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”为教学大纲中规定的形式；“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”可由任课教师或课程组自行确定（同一门课程多位教师任课的须由课程组统一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”和“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”的方式及成绩占比。</w:t>
      </w:r>
    </w:p>
    <w:p w:rsidR="0050085D" w:rsidRPr="004A7B0E" w:rsidRDefault="0050085D" w:rsidP="00E02A0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Arial" w:eastAsia="仿宋" w:hAnsi="Arial" w:cs="Arial"/>
          <w:color w:val="000000"/>
          <w:position w:val="-20"/>
          <w:lang w:eastAsia="zh-CN"/>
        </w:rPr>
      </w:pPr>
    </w:p>
    <w:p w:rsidR="0050085D" w:rsidRPr="007215CF" w:rsidRDefault="0050085D" w:rsidP="009A0CF2">
      <w:pPr>
        <w:tabs>
          <w:tab w:val="left" w:pos="4320"/>
        </w:tabs>
        <w:jc w:val="both"/>
        <w:outlineLvl w:val="0"/>
        <w:rPr>
          <w:rFonts w:eastAsia="宋体"/>
          <w:color w:val="000000"/>
          <w:position w:val="-20"/>
          <w:sz w:val="28"/>
          <w:szCs w:val="28"/>
          <w:lang w:eastAsia="zh-CN"/>
        </w:rPr>
      </w:pP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任课教师：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 xml:space="preserve"> WANG Ping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ab/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主任审核：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>WU Fan</w:t>
      </w:r>
    </w:p>
    <w:p w:rsidR="0050085D" w:rsidRPr="000B76A3" w:rsidRDefault="0050085D" w:rsidP="000B76A3">
      <w:pPr>
        <w:tabs>
          <w:tab w:val="left" w:pos="4320"/>
        </w:tabs>
        <w:jc w:val="both"/>
        <w:outlineLvl w:val="0"/>
        <w:rPr>
          <w:rFonts w:eastAsia="宋体"/>
          <w:lang w:eastAsia="zh-CN"/>
        </w:rPr>
      </w:pP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/>
          <w:color w:val="000000"/>
          <w:position w:val="-20"/>
          <w:lang w:eastAsia="zh-CN"/>
        </w:rPr>
        <w:t xml:space="preserve">     </w:t>
      </w:r>
      <w:r>
        <w:rPr>
          <w:rFonts w:eastAsia="宋体"/>
          <w:color w:val="000000"/>
          <w:position w:val="-20"/>
          <w:lang w:eastAsia="zh-CN"/>
        </w:rPr>
        <w:t xml:space="preserve">  </w:t>
      </w:r>
      <w:r>
        <w:rPr>
          <w:rFonts w:eastAsia="宋体"/>
          <w:b/>
          <w:color w:val="000000"/>
          <w:position w:val="-20"/>
          <w:lang w:eastAsia="zh-CN"/>
        </w:rPr>
        <w:t>2020.04.20</w:t>
      </w:r>
      <w:r w:rsidRPr="000B76A3">
        <w:rPr>
          <w:rFonts w:eastAsia="宋体"/>
          <w:color w:val="000000"/>
          <w:position w:val="-20"/>
          <w:lang w:eastAsia="zh-CN"/>
        </w:rPr>
        <w:tab/>
      </w: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    </w:t>
      </w:r>
      <w:r>
        <w:rPr>
          <w:rFonts w:eastAsia="宋体" w:hAnsi="宋体"/>
          <w:color w:val="000000"/>
          <w:position w:val="-20"/>
          <w:lang w:eastAsia="zh-CN"/>
        </w:rPr>
        <w:t xml:space="preserve">  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</w:t>
      </w:r>
      <w:r>
        <w:rPr>
          <w:rFonts w:eastAsia="宋体"/>
          <w:b/>
          <w:color w:val="000000"/>
          <w:position w:val="-20"/>
          <w:lang w:eastAsia="zh-CN"/>
        </w:rPr>
        <w:t>2020.04.20</w:t>
      </w:r>
    </w:p>
    <w:sectPr w:rsidR="0050085D" w:rsidRPr="000B76A3" w:rsidSect="003C6A9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360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5D" w:rsidRDefault="0050085D" w:rsidP="004B674B">
      <w:r>
        <w:separator/>
      </w:r>
    </w:p>
  </w:endnote>
  <w:endnote w:type="continuationSeparator" w:id="0">
    <w:p w:rsidR="0050085D" w:rsidRDefault="0050085D" w:rsidP="004B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falt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華康儷中黑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D" w:rsidRDefault="0050085D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0085D" w:rsidRDefault="0050085D">
    <w:pPr>
      <w:pStyle w:val="Footer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D" w:rsidRDefault="0050085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0085D" w:rsidRDefault="0050085D" w:rsidP="00872AE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5D" w:rsidRDefault="0050085D" w:rsidP="004B674B">
      <w:r>
        <w:separator/>
      </w:r>
    </w:p>
  </w:footnote>
  <w:footnote w:type="continuationSeparator" w:id="0">
    <w:p w:rsidR="0050085D" w:rsidRDefault="0050085D" w:rsidP="004B6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D" w:rsidRDefault="0050085D" w:rsidP="00872AE2">
    <w:pPr>
      <w:pStyle w:val="Header"/>
      <w:spacing w:beforeLines="30"/>
      <w:ind w:firstLineChars="850" w:firstLine="3168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5D" w:rsidRPr="003C6A9C" w:rsidRDefault="0050085D" w:rsidP="00872AE2">
    <w:pPr>
      <w:pStyle w:val="Header"/>
      <w:spacing w:beforeLines="30"/>
      <w:ind w:firstLineChars="400" w:firstLine="31680"/>
      <w:rPr>
        <w:rFonts w:ascii="華康儷中黑" w:eastAsia="宋体"/>
        <w:sz w:val="18"/>
        <w:szCs w:val="18"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1.8pt;width:207.5pt;height:22.1pt;z-index:251662336;mso-position-horizontal-relative:page;mso-position-vertical-relative:page" stroked="f" strokeweight=".5pt">
          <v:textbox>
            <w:txbxContent>
              <w:p w:rsidR="0050085D" w:rsidRDefault="0050085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57"/>
    <w:rsid w:val="00001A9A"/>
    <w:rsid w:val="000138B2"/>
    <w:rsid w:val="00022D64"/>
    <w:rsid w:val="000369D9"/>
    <w:rsid w:val="00040BAC"/>
    <w:rsid w:val="000439B6"/>
    <w:rsid w:val="000457BB"/>
    <w:rsid w:val="00045AE0"/>
    <w:rsid w:val="000509DC"/>
    <w:rsid w:val="0005271F"/>
    <w:rsid w:val="0005291A"/>
    <w:rsid w:val="00054B07"/>
    <w:rsid w:val="00056726"/>
    <w:rsid w:val="00061DF6"/>
    <w:rsid w:val="00065C53"/>
    <w:rsid w:val="000708DA"/>
    <w:rsid w:val="00073336"/>
    <w:rsid w:val="00075557"/>
    <w:rsid w:val="000757F8"/>
    <w:rsid w:val="0007782D"/>
    <w:rsid w:val="00081FA0"/>
    <w:rsid w:val="0008236E"/>
    <w:rsid w:val="00087FB2"/>
    <w:rsid w:val="00094CE3"/>
    <w:rsid w:val="000A22C6"/>
    <w:rsid w:val="000A3531"/>
    <w:rsid w:val="000A448C"/>
    <w:rsid w:val="000A5A1C"/>
    <w:rsid w:val="000A5D03"/>
    <w:rsid w:val="000B01D5"/>
    <w:rsid w:val="000B165C"/>
    <w:rsid w:val="000B38AB"/>
    <w:rsid w:val="000B69B3"/>
    <w:rsid w:val="000B76A3"/>
    <w:rsid w:val="000C1065"/>
    <w:rsid w:val="000C33F1"/>
    <w:rsid w:val="000C3A32"/>
    <w:rsid w:val="000C65FF"/>
    <w:rsid w:val="000C7AFA"/>
    <w:rsid w:val="000D033F"/>
    <w:rsid w:val="000D0C75"/>
    <w:rsid w:val="000D1B9D"/>
    <w:rsid w:val="000D532D"/>
    <w:rsid w:val="000D5BC8"/>
    <w:rsid w:val="000E2757"/>
    <w:rsid w:val="000E531F"/>
    <w:rsid w:val="000F3B7C"/>
    <w:rsid w:val="000F3F3A"/>
    <w:rsid w:val="000F5825"/>
    <w:rsid w:val="000F77FE"/>
    <w:rsid w:val="000F7F2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1D06"/>
    <w:rsid w:val="001625E9"/>
    <w:rsid w:val="00163A68"/>
    <w:rsid w:val="00164B67"/>
    <w:rsid w:val="0016749D"/>
    <w:rsid w:val="00171DEE"/>
    <w:rsid w:val="0017284B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B21"/>
    <w:rsid w:val="001B6F0E"/>
    <w:rsid w:val="001B7389"/>
    <w:rsid w:val="001C2E51"/>
    <w:rsid w:val="001C57B1"/>
    <w:rsid w:val="001D1C00"/>
    <w:rsid w:val="001D1D03"/>
    <w:rsid w:val="001D3C62"/>
    <w:rsid w:val="001D6B75"/>
    <w:rsid w:val="001E3DBD"/>
    <w:rsid w:val="001E76D4"/>
    <w:rsid w:val="001F430C"/>
    <w:rsid w:val="001F52A9"/>
    <w:rsid w:val="001F610E"/>
    <w:rsid w:val="002002FC"/>
    <w:rsid w:val="00201FDA"/>
    <w:rsid w:val="00207629"/>
    <w:rsid w:val="00207A1E"/>
    <w:rsid w:val="00212E8E"/>
    <w:rsid w:val="002174A6"/>
    <w:rsid w:val="0021779C"/>
    <w:rsid w:val="0022097D"/>
    <w:rsid w:val="00233274"/>
    <w:rsid w:val="00233384"/>
    <w:rsid w:val="00233529"/>
    <w:rsid w:val="00240B53"/>
    <w:rsid w:val="00271B26"/>
    <w:rsid w:val="0027719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5F9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86B"/>
    <w:rsid w:val="003558E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A9C"/>
    <w:rsid w:val="003D016C"/>
    <w:rsid w:val="003D2737"/>
    <w:rsid w:val="003D5C4A"/>
    <w:rsid w:val="003E152E"/>
    <w:rsid w:val="003F0A1F"/>
    <w:rsid w:val="003F4C9F"/>
    <w:rsid w:val="003F51DB"/>
    <w:rsid w:val="003F5A06"/>
    <w:rsid w:val="003F6B48"/>
    <w:rsid w:val="0040254E"/>
    <w:rsid w:val="00402CF7"/>
    <w:rsid w:val="00415B53"/>
    <w:rsid w:val="00416104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829"/>
    <w:rsid w:val="00460FAC"/>
    <w:rsid w:val="00462267"/>
    <w:rsid w:val="00463BDD"/>
    <w:rsid w:val="0046503C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0E"/>
    <w:rsid w:val="004B04C5"/>
    <w:rsid w:val="004B3566"/>
    <w:rsid w:val="004B674B"/>
    <w:rsid w:val="004C1D3E"/>
    <w:rsid w:val="004C7613"/>
    <w:rsid w:val="004D07ED"/>
    <w:rsid w:val="004E412A"/>
    <w:rsid w:val="004E5B08"/>
    <w:rsid w:val="004E68E7"/>
    <w:rsid w:val="004F0DAB"/>
    <w:rsid w:val="005003D0"/>
    <w:rsid w:val="00500511"/>
    <w:rsid w:val="0050085D"/>
    <w:rsid w:val="00503BD4"/>
    <w:rsid w:val="005041F9"/>
    <w:rsid w:val="005051C3"/>
    <w:rsid w:val="00505F1C"/>
    <w:rsid w:val="00507C41"/>
    <w:rsid w:val="00512339"/>
    <w:rsid w:val="00513875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CEF"/>
    <w:rsid w:val="0060403A"/>
    <w:rsid w:val="006044A3"/>
    <w:rsid w:val="006123C8"/>
    <w:rsid w:val="0061291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810"/>
    <w:rsid w:val="00642FF2"/>
    <w:rsid w:val="00647674"/>
    <w:rsid w:val="006537ED"/>
    <w:rsid w:val="00662291"/>
    <w:rsid w:val="00670F19"/>
    <w:rsid w:val="0067285B"/>
    <w:rsid w:val="006777DC"/>
    <w:rsid w:val="00681194"/>
    <w:rsid w:val="006849D2"/>
    <w:rsid w:val="00686F11"/>
    <w:rsid w:val="0069008D"/>
    <w:rsid w:val="00692B28"/>
    <w:rsid w:val="00693552"/>
    <w:rsid w:val="006946F8"/>
    <w:rsid w:val="00697452"/>
    <w:rsid w:val="006A006A"/>
    <w:rsid w:val="006A069C"/>
    <w:rsid w:val="006A2DDC"/>
    <w:rsid w:val="006A4FA3"/>
    <w:rsid w:val="006B0F20"/>
    <w:rsid w:val="006B1B20"/>
    <w:rsid w:val="006B3072"/>
    <w:rsid w:val="006B5554"/>
    <w:rsid w:val="006C15AE"/>
    <w:rsid w:val="006C5B2B"/>
    <w:rsid w:val="006C6281"/>
    <w:rsid w:val="006C6C04"/>
    <w:rsid w:val="006D5C73"/>
    <w:rsid w:val="006D7264"/>
    <w:rsid w:val="006D757B"/>
    <w:rsid w:val="006E6DA0"/>
    <w:rsid w:val="006F2384"/>
    <w:rsid w:val="006F4482"/>
    <w:rsid w:val="006F7DC8"/>
    <w:rsid w:val="00701C32"/>
    <w:rsid w:val="00704C15"/>
    <w:rsid w:val="0070511C"/>
    <w:rsid w:val="00707A4D"/>
    <w:rsid w:val="00710973"/>
    <w:rsid w:val="00714CF5"/>
    <w:rsid w:val="007215C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146"/>
    <w:rsid w:val="007637A0"/>
    <w:rsid w:val="007752C7"/>
    <w:rsid w:val="0078027D"/>
    <w:rsid w:val="00780EC3"/>
    <w:rsid w:val="007825FB"/>
    <w:rsid w:val="007829F6"/>
    <w:rsid w:val="007844CD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59"/>
    <w:rsid w:val="008550AF"/>
    <w:rsid w:val="00856D60"/>
    <w:rsid w:val="0086308E"/>
    <w:rsid w:val="00865C6A"/>
    <w:rsid w:val="00866229"/>
    <w:rsid w:val="008665DF"/>
    <w:rsid w:val="00866AEC"/>
    <w:rsid w:val="00866CD5"/>
    <w:rsid w:val="008702F7"/>
    <w:rsid w:val="00872AE2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F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01D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868"/>
    <w:rsid w:val="00973BAA"/>
    <w:rsid w:val="00975747"/>
    <w:rsid w:val="009859BF"/>
    <w:rsid w:val="00990BDA"/>
    <w:rsid w:val="009937CB"/>
    <w:rsid w:val="009959B1"/>
    <w:rsid w:val="0099751B"/>
    <w:rsid w:val="009A0CF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FA8"/>
    <w:rsid w:val="009E4677"/>
    <w:rsid w:val="009E681A"/>
    <w:rsid w:val="009F2975"/>
    <w:rsid w:val="009F3A13"/>
    <w:rsid w:val="009F564F"/>
    <w:rsid w:val="009F660E"/>
    <w:rsid w:val="009F725E"/>
    <w:rsid w:val="009F7496"/>
    <w:rsid w:val="00A012D6"/>
    <w:rsid w:val="00A0335D"/>
    <w:rsid w:val="00A0348E"/>
    <w:rsid w:val="00A036ED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9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E88"/>
    <w:rsid w:val="00AC534F"/>
    <w:rsid w:val="00AC5AA6"/>
    <w:rsid w:val="00AD1179"/>
    <w:rsid w:val="00AD15FD"/>
    <w:rsid w:val="00AD3670"/>
    <w:rsid w:val="00AD606E"/>
    <w:rsid w:val="00AF5CCA"/>
    <w:rsid w:val="00AF67A1"/>
    <w:rsid w:val="00B01533"/>
    <w:rsid w:val="00B05815"/>
    <w:rsid w:val="00B066D2"/>
    <w:rsid w:val="00B11918"/>
    <w:rsid w:val="00B1252F"/>
    <w:rsid w:val="00B13DF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543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952"/>
    <w:rsid w:val="00BE7EFB"/>
    <w:rsid w:val="00BF3DF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E65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1E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4FC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044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AC3"/>
    <w:rsid w:val="00DF1D4C"/>
    <w:rsid w:val="00DF7EBD"/>
    <w:rsid w:val="00E020D5"/>
    <w:rsid w:val="00E02A0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31D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E8C"/>
    <w:rsid w:val="00EB65D8"/>
    <w:rsid w:val="00EB752B"/>
    <w:rsid w:val="00EC7382"/>
    <w:rsid w:val="00ED01BA"/>
    <w:rsid w:val="00ED092D"/>
    <w:rsid w:val="00ED3D71"/>
    <w:rsid w:val="00ED41B5"/>
    <w:rsid w:val="00ED49EA"/>
    <w:rsid w:val="00ED6D42"/>
    <w:rsid w:val="00EE1656"/>
    <w:rsid w:val="00EF09CE"/>
    <w:rsid w:val="00EF3A46"/>
    <w:rsid w:val="00EF4286"/>
    <w:rsid w:val="00F01370"/>
    <w:rsid w:val="00F017A7"/>
    <w:rsid w:val="00F02E1D"/>
    <w:rsid w:val="00F02E3E"/>
    <w:rsid w:val="00F03CA8"/>
    <w:rsid w:val="00F0406B"/>
    <w:rsid w:val="00F04720"/>
    <w:rsid w:val="00F07E95"/>
    <w:rsid w:val="00F1508D"/>
    <w:rsid w:val="00F2051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B6C"/>
    <w:rsid w:val="00F75B0B"/>
    <w:rsid w:val="00F91469"/>
    <w:rsid w:val="00F938D7"/>
    <w:rsid w:val="00F948E3"/>
    <w:rsid w:val="00F95F7A"/>
    <w:rsid w:val="00F968BE"/>
    <w:rsid w:val="00FA2626"/>
    <w:rsid w:val="00FA57E1"/>
    <w:rsid w:val="00FA6A7E"/>
    <w:rsid w:val="00FB15A4"/>
    <w:rsid w:val="00FB1F55"/>
    <w:rsid w:val="00FB23D8"/>
    <w:rsid w:val="00FB4AE3"/>
    <w:rsid w:val="00FD313C"/>
    <w:rsid w:val="00FD3A3B"/>
    <w:rsid w:val="00FE319F"/>
    <w:rsid w:val="00FE36E9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  <w:pPr>
      <w:widowControl w:val="0"/>
    </w:pPr>
    <w:rPr>
      <w:rFonts w:eastAsia="PMingLiUfalt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4B674B"/>
    <w:rPr>
      <w:rFonts w:cs="Times New Roman"/>
    </w:rPr>
  </w:style>
  <w:style w:type="character" w:styleId="Hyperlink">
    <w:name w:val="Hyperlink"/>
    <w:basedOn w:val="DefaultParagraphFont"/>
    <w:uiPriority w:val="99"/>
    <w:rsid w:val="004B674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B674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uiPriority w:val="99"/>
    <w:rsid w:val="004B674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204</Words>
  <Characters>1169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News</cp:lastModifiedBy>
  <cp:revision>3</cp:revision>
  <cp:lastPrinted>2015-03-18T03:45:00Z</cp:lastPrinted>
  <dcterms:created xsi:type="dcterms:W3CDTF">2020-04-20T10:03:00Z</dcterms:created>
  <dcterms:modified xsi:type="dcterms:W3CDTF">2020-04-20T10:04:00Z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