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1F2" w:rsidRPr="001D0A60" w:rsidRDefault="004A64FA">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3029D8">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7031F2" w:rsidRDefault="004A64F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Pr="001D0A60">
        <w:rPr>
          <w:rFonts w:asciiTheme="minorEastAsia" w:eastAsiaTheme="minorEastAsia" w:hAnsiTheme="minorEastAsia" w:hint="eastAsia"/>
          <w:bCs/>
          <w:kern w:val="0"/>
          <w:sz w:val="40"/>
          <w:szCs w:val="40"/>
        </w:rPr>
        <w:t xml:space="preserve">      财务管理教学大纲</w:t>
      </w:r>
    </w:p>
    <w:p w:rsidR="007031F2" w:rsidRPr="001D0A60" w:rsidRDefault="004A64FA">
      <w:pPr>
        <w:spacing w:line="288" w:lineRule="auto"/>
        <w:jc w:val="center"/>
        <w:rPr>
          <w:b/>
          <w:sz w:val="28"/>
          <w:szCs w:val="30"/>
        </w:rPr>
      </w:pPr>
      <w:r w:rsidRPr="001D0A60">
        <w:rPr>
          <w:rFonts w:hint="eastAsia"/>
          <w:b/>
          <w:sz w:val="28"/>
          <w:szCs w:val="30"/>
        </w:rPr>
        <w:t>【财务管理】</w:t>
      </w:r>
    </w:p>
    <w:p w:rsidR="007031F2" w:rsidRPr="001D0A60" w:rsidRDefault="004A64FA">
      <w:pPr>
        <w:shd w:val="clear" w:color="auto" w:fill="F5F5F5"/>
        <w:jc w:val="center"/>
        <w:textAlignment w:val="top"/>
        <w:rPr>
          <w:rFonts w:ascii="Arial" w:hAnsi="Arial" w:cs="Arial"/>
          <w:color w:val="888888"/>
          <w:kern w:val="0"/>
          <w:sz w:val="20"/>
          <w:szCs w:val="20"/>
        </w:rPr>
      </w:pPr>
      <w:r w:rsidRPr="001D0A60">
        <w:rPr>
          <w:rFonts w:hint="eastAsia"/>
          <w:b/>
          <w:sz w:val="28"/>
          <w:szCs w:val="30"/>
        </w:rPr>
        <w:t>【</w:t>
      </w:r>
      <w:r w:rsidRPr="001D0A60">
        <w:rPr>
          <w:rFonts w:hint="eastAsia"/>
          <w:b/>
          <w:sz w:val="28"/>
          <w:szCs w:val="30"/>
        </w:rPr>
        <w:t>Financial</w:t>
      </w:r>
      <w:r w:rsidRPr="001D0A60">
        <w:rPr>
          <w:b/>
          <w:sz w:val="28"/>
          <w:szCs w:val="30"/>
        </w:rPr>
        <w:t xml:space="preserve"> management</w:t>
      </w:r>
      <w:r w:rsidRPr="001D0A60">
        <w:rPr>
          <w:rFonts w:hint="eastAsia"/>
          <w:b/>
          <w:sz w:val="28"/>
          <w:szCs w:val="30"/>
        </w:rPr>
        <w:t>】</w:t>
      </w:r>
      <w:bookmarkStart w:id="0" w:name="a2"/>
      <w:bookmarkEnd w:id="0"/>
    </w:p>
    <w:p w:rsidR="007031F2" w:rsidRPr="001D0A60" w:rsidRDefault="004A64FA">
      <w:pPr>
        <w:spacing w:beforeLines="50" w:before="156" w:afterLines="50" w:after="156" w:line="288" w:lineRule="auto"/>
        <w:ind w:firstLineChars="150" w:firstLine="360"/>
        <w:rPr>
          <w:b/>
          <w:color w:val="008080"/>
          <w:sz w:val="30"/>
          <w:szCs w:val="30"/>
        </w:rPr>
      </w:pPr>
      <w:r w:rsidRPr="001D0A60">
        <w:rPr>
          <w:rFonts w:ascii="黑体" w:eastAsia="黑体" w:hAnsi="宋体"/>
          <w:sz w:val="24"/>
        </w:rPr>
        <w:t>一</w:t>
      </w:r>
      <w:r w:rsidRPr="001D0A60">
        <w:rPr>
          <w:rFonts w:ascii="黑体" w:eastAsia="黑体" w:hAnsi="宋体" w:hint="eastAsia"/>
          <w:sz w:val="24"/>
        </w:rPr>
        <w:t>、</w:t>
      </w:r>
      <w:r w:rsidRPr="001D0A60">
        <w:rPr>
          <w:rFonts w:ascii="黑体" w:eastAsia="黑体" w:hAnsi="宋体"/>
          <w:sz w:val="24"/>
        </w:rPr>
        <w:t>基本信息</w:t>
      </w:r>
    </w:p>
    <w:p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课程代码：</w:t>
      </w:r>
      <w:r w:rsidRPr="001D0A60">
        <w:rPr>
          <w:color w:val="000000"/>
          <w:sz w:val="20"/>
          <w:szCs w:val="20"/>
        </w:rPr>
        <w:t>【</w:t>
      </w:r>
      <w:r w:rsidR="001D0A60" w:rsidRPr="001D0A60">
        <w:rPr>
          <w:color w:val="000000"/>
          <w:sz w:val="20"/>
          <w:szCs w:val="20"/>
        </w:rPr>
        <w:t>2060006</w:t>
      </w:r>
      <w:r w:rsidRPr="001D0A60">
        <w:rPr>
          <w:color w:val="000000"/>
          <w:sz w:val="20"/>
          <w:szCs w:val="20"/>
        </w:rPr>
        <w:t>】</w:t>
      </w:r>
    </w:p>
    <w:p w:rsidR="007031F2" w:rsidRPr="001D0A60" w:rsidRDefault="004A64FA">
      <w:pPr>
        <w:snapToGrid w:val="0"/>
        <w:spacing w:line="288" w:lineRule="auto"/>
        <w:ind w:firstLineChars="196" w:firstLine="394"/>
        <w:rPr>
          <w:color w:val="000000"/>
          <w:szCs w:val="21"/>
        </w:rPr>
      </w:pPr>
      <w:r w:rsidRPr="001D0A60">
        <w:rPr>
          <w:b/>
          <w:bCs/>
          <w:color w:val="000000"/>
          <w:sz w:val="20"/>
          <w:szCs w:val="20"/>
        </w:rPr>
        <w:t>课程学分：</w:t>
      </w:r>
      <w:r w:rsidRPr="001D0A60">
        <w:rPr>
          <w:color w:val="000000"/>
          <w:sz w:val="20"/>
          <w:szCs w:val="20"/>
        </w:rPr>
        <w:t>【</w:t>
      </w:r>
      <w:r w:rsidR="001D0A60" w:rsidRPr="001D0A60">
        <w:rPr>
          <w:rFonts w:hint="eastAsia"/>
          <w:color w:val="000000"/>
          <w:sz w:val="20"/>
          <w:szCs w:val="20"/>
        </w:rPr>
        <w:t>3</w:t>
      </w:r>
      <w:r w:rsidRPr="001D0A60">
        <w:rPr>
          <w:color w:val="000000"/>
          <w:sz w:val="20"/>
          <w:szCs w:val="20"/>
        </w:rPr>
        <w:t>】</w:t>
      </w:r>
    </w:p>
    <w:p w:rsidR="007031F2" w:rsidRPr="001D0A60" w:rsidRDefault="004A64FA">
      <w:pPr>
        <w:snapToGrid w:val="0"/>
        <w:spacing w:line="288" w:lineRule="auto"/>
        <w:ind w:firstLineChars="196" w:firstLine="394"/>
        <w:rPr>
          <w:color w:val="000000"/>
          <w:szCs w:val="21"/>
        </w:rPr>
      </w:pPr>
      <w:r w:rsidRPr="001D0A60">
        <w:rPr>
          <w:b/>
          <w:bCs/>
          <w:color w:val="000000"/>
          <w:sz w:val="20"/>
          <w:szCs w:val="20"/>
        </w:rPr>
        <w:t>面向专业：</w:t>
      </w:r>
      <w:r w:rsidRPr="001D0A60">
        <w:rPr>
          <w:color w:val="000000"/>
          <w:sz w:val="20"/>
          <w:szCs w:val="20"/>
        </w:rPr>
        <w:t>【</w:t>
      </w:r>
      <w:r w:rsidR="001D0A60" w:rsidRPr="001D0A60">
        <w:rPr>
          <w:rFonts w:hint="eastAsia"/>
          <w:color w:val="000000"/>
          <w:sz w:val="20"/>
          <w:szCs w:val="20"/>
        </w:rPr>
        <w:t>工商管理</w:t>
      </w:r>
      <w:r w:rsidRPr="001D0A60">
        <w:rPr>
          <w:color w:val="000000"/>
          <w:sz w:val="20"/>
          <w:szCs w:val="20"/>
        </w:rPr>
        <w:t>】</w:t>
      </w:r>
    </w:p>
    <w:p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课程性质：</w:t>
      </w:r>
      <w:r w:rsidRPr="001D0A60">
        <w:rPr>
          <w:color w:val="000000"/>
          <w:sz w:val="20"/>
          <w:szCs w:val="20"/>
        </w:rPr>
        <w:t>【</w:t>
      </w:r>
      <w:r w:rsidRPr="001D0A60">
        <w:rPr>
          <w:rFonts w:hint="eastAsia"/>
          <w:color w:val="000000"/>
          <w:sz w:val="20"/>
          <w:szCs w:val="20"/>
        </w:rPr>
        <w:t>院级必修课</w:t>
      </w:r>
      <w:r w:rsidRPr="001D0A60">
        <w:rPr>
          <w:color w:val="000000"/>
          <w:sz w:val="20"/>
          <w:szCs w:val="20"/>
        </w:rPr>
        <w:t>】</w:t>
      </w:r>
    </w:p>
    <w:p w:rsidR="007031F2" w:rsidRPr="001D0A60" w:rsidRDefault="004A64FA">
      <w:pPr>
        <w:snapToGrid w:val="0"/>
        <w:spacing w:line="288" w:lineRule="auto"/>
        <w:ind w:firstLineChars="196" w:firstLine="394"/>
        <w:rPr>
          <w:color w:val="000000"/>
          <w:szCs w:val="21"/>
        </w:rPr>
      </w:pPr>
      <w:r w:rsidRPr="001D0A60">
        <w:rPr>
          <w:b/>
          <w:bCs/>
          <w:color w:val="000000"/>
          <w:sz w:val="20"/>
          <w:szCs w:val="20"/>
        </w:rPr>
        <w:t>开课院系：</w:t>
      </w:r>
      <w:r w:rsidR="001D0A60" w:rsidRPr="001D0A60">
        <w:rPr>
          <w:rFonts w:hint="eastAsia"/>
          <w:color w:val="000000"/>
          <w:sz w:val="20"/>
          <w:szCs w:val="20"/>
        </w:rPr>
        <w:t>珠宝学院</w:t>
      </w:r>
    </w:p>
    <w:p w:rsidR="007031F2" w:rsidRPr="001D0A60" w:rsidRDefault="004A64FA">
      <w:pPr>
        <w:snapToGrid w:val="0"/>
        <w:spacing w:line="288" w:lineRule="auto"/>
        <w:ind w:firstLineChars="196" w:firstLine="394"/>
        <w:rPr>
          <w:color w:val="000000"/>
          <w:sz w:val="20"/>
          <w:szCs w:val="20"/>
        </w:rPr>
      </w:pPr>
      <w:r w:rsidRPr="001D0A60">
        <w:rPr>
          <w:b/>
          <w:bCs/>
          <w:color w:val="000000"/>
          <w:sz w:val="20"/>
          <w:szCs w:val="20"/>
        </w:rPr>
        <w:t>使用教材：</w:t>
      </w:r>
    </w:p>
    <w:p w:rsidR="004A64FA" w:rsidRPr="001D0A60" w:rsidRDefault="004A64FA">
      <w:pPr>
        <w:snapToGrid w:val="0"/>
        <w:spacing w:line="288" w:lineRule="auto"/>
        <w:ind w:leftChars="342" w:left="718" w:firstLineChars="50" w:firstLine="100"/>
        <w:rPr>
          <w:color w:val="000000"/>
          <w:sz w:val="20"/>
          <w:szCs w:val="20"/>
        </w:rPr>
      </w:pPr>
      <w:r w:rsidRPr="001D0A60">
        <w:rPr>
          <w:rFonts w:hint="eastAsia"/>
          <w:color w:val="000000"/>
          <w:sz w:val="20"/>
          <w:szCs w:val="20"/>
        </w:rPr>
        <w:t>教材：</w:t>
      </w:r>
    </w:p>
    <w:p w:rsidR="004A64FA" w:rsidRPr="001D0A60" w:rsidRDefault="004A64FA" w:rsidP="004A64FA">
      <w:pPr>
        <w:snapToGrid w:val="0"/>
        <w:spacing w:line="288" w:lineRule="auto"/>
        <w:ind w:leftChars="342" w:left="718" w:firstLineChars="50" w:firstLine="100"/>
        <w:rPr>
          <w:color w:val="000000"/>
          <w:sz w:val="20"/>
          <w:szCs w:val="20"/>
        </w:rPr>
      </w:pPr>
      <w:r w:rsidRPr="001D0A60">
        <w:rPr>
          <w:rFonts w:hint="eastAsia"/>
          <w:color w:val="000000"/>
          <w:sz w:val="20"/>
          <w:szCs w:val="20"/>
        </w:rPr>
        <w:t>1</w:t>
      </w:r>
      <w:r w:rsidRPr="001D0A60">
        <w:rPr>
          <w:rFonts w:hint="eastAsia"/>
          <w:color w:val="000000"/>
          <w:sz w:val="20"/>
          <w:szCs w:val="20"/>
        </w:rPr>
        <w:t>、</w:t>
      </w:r>
      <w:r w:rsidRPr="001D0A60">
        <w:rPr>
          <w:rFonts w:hint="eastAsia"/>
          <w:color w:val="000000"/>
          <w:sz w:val="20"/>
          <w:szCs w:val="20"/>
        </w:rPr>
        <w:tab/>
      </w:r>
      <w:r w:rsidRPr="001D0A60">
        <w:rPr>
          <w:rFonts w:hint="eastAsia"/>
          <w:color w:val="000000"/>
          <w:sz w:val="20"/>
          <w:szCs w:val="20"/>
        </w:rPr>
        <w:t>荆新，王化成，刘俊彦</w:t>
      </w:r>
      <w:r w:rsidRPr="001D0A60">
        <w:rPr>
          <w:rFonts w:hint="eastAsia"/>
          <w:color w:val="000000"/>
          <w:sz w:val="20"/>
          <w:szCs w:val="20"/>
        </w:rPr>
        <w:t xml:space="preserve">. </w:t>
      </w:r>
      <w:r w:rsidRPr="001D0A60">
        <w:rPr>
          <w:rFonts w:hint="eastAsia"/>
          <w:color w:val="000000"/>
          <w:sz w:val="20"/>
          <w:szCs w:val="20"/>
        </w:rPr>
        <w:t>《财务管理学》（第</w:t>
      </w:r>
      <w:r w:rsidRPr="001D0A60">
        <w:rPr>
          <w:rFonts w:hint="eastAsia"/>
          <w:color w:val="000000"/>
          <w:sz w:val="20"/>
          <w:szCs w:val="20"/>
        </w:rPr>
        <w:t>8</w:t>
      </w:r>
      <w:r w:rsidRPr="001D0A60">
        <w:rPr>
          <w:rFonts w:hint="eastAsia"/>
          <w:color w:val="000000"/>
          <w:sz w:val="20"/>
          <w:szCs w:val="20"/>
        </w:rPr>
        <w:t>版），北京：中国人民大学出版社，</w:t>
      </w:r>
      <w:r w:rsidRPr="001D0A60">
        <w:rPr>
          <w:rFonts w:hint="eastAsia"/>
          <w:color w:val="000000"/>
          <w:sz w:val="20"/>
          <w:szCs w:val="20"/>
        </w:rPr>
        <w:t>2018-05</w:t>
      </w:r>
    </w:p>
    <w:p w:rsidR="004A64FA" w:rsidRPr="001D0A60" w:rsidRDefault="004A64FA" w:rsidP="004A64FA">
      <w:pPr>
        <w:snapToGrid w:val="0"/>
        <w:spacing w:line="288" w:lineRule="auto"/>
        <w:ind w:leftChars="342" w:left="718" w:firstLineChars="50" w:firstLine="100"/>
        <w:rPr>
          <w:color w:val="000000"/>
          <w:sz w:val="20"/>
          <w:szCs w:val="20"/>
        </w:rPr>
      </w:pPr>
      <w:r w:rsidRPr="001D0A60">
        <w:rPr>
          <w:rFonts w:hint="eastAsia"/>
          <w:color w:val="000000"/>
          <w:sz w:val="20"/>
          <w:szCs w:val="20"/>
        </w:rPr>
        <w:t>参考书目：</w:t>
      </w:r>
    </w:p>
    <w:p w:rsidR="004A64FA" w:rsidRPr="001D0A60" w:rsidRDefault="004A64FA" w:rsidP="004A64FA">
      <w:pPr>
        <w:snapToGrid w:val="0"/>
        <w:spacing w:line="288" w:lineRule="auto"/>
        <w:ind w:leftChars="342" w:left="718" w:firstLineChars="50" w:firstLine="100"/>
        <w:rPr>
          <w:color w:val="000000"/>
          <w:sz w:val="20"/>
          <w:szCs w:val="20"/>
        </w:rPr>
      </w:pPr>
      <w:r w:rsidRPr="001D0A60">
        <w:rPr>
          <w:color w:val="000000"/>
          <w:sz w:val="20"/>
          <w:szCs w:val="20"/>
        </w:rPr>
        <w:t>1</w:t>
      </w:r>
      <w:r w:rsidRPr="001D0A60">
        <w:rPr>
          <w:rFonts w:hint="eastAsia"/>
          <w:color w:val="000000"/>
          <w:sz w:val="20"/>
          <w:szCs w:val="20"/>
        </w:rPr>
        <w:t>、</w:t>
      </w:r>
      <w:r w:rsidRPr="001D0A60">
        <w:rPr>
          <w:rFonts w:hint="eastAsia"/>
          <w:color w:val="000000"/>
          <w:sz w:val="20"/>
          <w:szCs w:val="20"/>
        </w:rPr>
        <w:tab/>
      </w:r>
      <w:r w:rsidRPr="001D0A60">
        <w:rPr>
          <w:rFonts w:hint="eastAsia"/>
          <w:color w:val="000000"/>
          <w:sz w:val="20"/>
          <w:szCs w:val="20"/>
        </w:rPr>
        <w:t>斯坦利·布洛克等著，</w:t>
      </w:r>
      <w:proofErr w:type="gramStart"/>
      <w:r w:rsidRPr="001D0A60">
        <w:rPr>
          <w:rFonts w:hint="eastAsia"/>
          <w:color w:val="000000"/>
          <w:sz w:val="20"/>
          <w:szCs w:val="20"/>
        </w:rPr>
        <w:t>王静译</w:t>
      </w:r>
      <w:proofErr w:type="gramEnd"/>
      <w:r w:rsidRPr="001D0A60">
        <w:rPr>
          <w:rFonts w:hint="eastAsia"/>
          <w:color w:val="000000"/>
          <w:sz w:val="20"/>
          <w:szCs w:val="20"/>
        </w:rPr>
        <w:t xml:space="preserve">. </w:t>
      </w:r>
      <w:r w:rsidRPr="001D0A60">
        <w:rPr>
          <w:rFonts w:hint="eastAsia"/>
          <w:color w:val="000000"/>
          <w:sz w:val="20"/>
          <w:szCs w:val="20"/>
        </w:rPr>
        <w:t>《财务管理基础》（第</w:t>
      </w:r>
      <w:r w:rsidRPr="001D0A60">
        <w:rPr>
          <w:rFonts w:hint="eastAsia"/>
          <w:color w:val="000000"/>
          <w:sz w:val="20"/>
          <w:szCs w:val="20"/>
        </w:rPr>
        <w:t>16</w:t>
      </w:r>
      <w:r w:rsidRPr="001D0A60">
        <w:rPr>
          <w:rFonts w:hint="eastAsia"/>
          <w:color w:val="000000"/>
          <w:sz w:val="20"/>
          <w:szCs w:val="20"/>
        </w:rPr>
        <w:t>版），北京：中国人民大学出版社，</w:t>
      </w:r>
      <w:r w:rsidRPr="001D0A60">
        <w:rPr>
          <w:rFonts w:hint="eastAsia"/>
          <w:color w:val="000000"/>
          <w:sz w:val="20"/>
          <w:szCs w:val="20"/>
        </w:rPr>
        <w:t>2019-07</w:t>
      </w:r>
    </w:p>
    <w:p w:rsidR="004A64FA" w:rsidRPr="001D0A60" w:rsidRDefault="004A64FA" w:rsidP="004A64FA">
      <w:pPr>
        <w:snapToGrid w:val="0"/>
        <w:spacing w:line="288" w:lineRule="auto"/>
        <w:ind w:leftChars="342" w:left="718" w:firstLineChars="50" w:firstLine="100"/>
        <w:rPr>
          <w:color w:val="000000"/>
          <w:sz w:val="20"/>
          <w:szCs w:val="20"/>
        </w:rPr>
      </w:pPr>
      <w:r w:rsidRPr="001D0A60">
        <w:rPr>
          <w:color w:val="000000"/>
          <w:sz w:val="20"/>
          <w:szCs w:val="20"/>
        </w:rPr>
        <w:t>2</w:t>
      </w:r>
      <w:r w:rsidRPr="001D0A60">
        <w:rPr>
          <w:rFonts w:hint="eastAsia"/>
          <w:color w:val="000000"/>
          <w:sz w:val="20"/>
          <w:szCs w:val="20"/>
        </w:rPr>
        <w:t>、</w:t>
      </w:r>
      <w:r w:rsidRPr="001D0A60">
        <w:rPr>
          <w:rFonts w:hint="eastAsia"/>
          <w:color w:val="000000"/>
          <w:sz w:val="20"/>
          <w:szCs w:val="20"/>
        </w:rPr>
        <w:tab/>
      </w:r>
      <w:r w:rsidRPr="001D0A60">
        <w:rPr>
          <w:rFonts w:hint="eastAsia"/>
          <w:color w:val="000000"/>
          <w:sz w:val="20"/>
          <w:szCs w:val="20"/>
        </w:rPr>
        <w:t>斯蒂芬</w:t>
      </w:r>
      <w:r w:rsidRPr="001D0A60">
        <w:rPr>
          <w:rFonts w:hint="eastAsia"/>
          <w:color w:val="000000"/>
          <w:sz w:val="20"/>
          <w:szCs w:val="20"/>
        </w:rPr>
        <w:t>.A.</w:t>
      </w:r>
      <w:r w:rsidRPr="001D0A60">
        <w:rPr>
          <w:rFonts w:hint="eastAsia"/>
          <w:color w:val="000000"/>
          <w:sz w:val="20"/>
          <w:szCs w:val="20"/>
        </w:rPr>
        <w:t>罗斯等著，李常青等译，《公司理财》（第</w:t>
      </w:r>
      <w:r w:rsidRPr="001D0A60">
        <w:rPr>
          <w:rFonts w:hint="eastAsia"/>
          <w:color w:val="000000"/>
          <w:sz w:val="20"/>
          <w:szCs w:val="20"/>
        </w:rPr>
        <w:t>5</w:t>
      </w:r>
      <w:r w:rsidRPr="001D0A60">
        <w:rPr>
          <w:rFonts w:hint="eastAsia"/>
          <w:color w:val="000000"/>
          <w:sz w:val="20"/>
          <w:szCs w:val="20"/>
        </w:rPr>
        <w:t>版），北京：中国人民大学出版社，</w:t>
      </w:r>
      <w:r w:rsidRPr="001D0A60">
        <w:rPr>
          <w:rFonts w:hint="eastAsia"/>
          <w:color w:val="000000"/>
          <w:sz w:val="20"/>
          <w:szCs w:val="20"/>
        </w:rPr>
        <w:t>2018-11</w:t>
      </w:r>
    </w:p>
    <w:p w:rsidR="004A64FA" w:rsidRPr="001D0A60" w:rsidRDefault="004A64FA" w:rsidP="004A64FA">
      <w:pPr>
        <w:snapToGrid w:val="0"/>
        <w:spacing w:line="288" w:lineRule="auto"/>
        <w:ind w:leftChars="342" w:left="718" w:firstLineChars="50" w:firstLine="100"/>
        <w:rPr>
          <w:color w:val="000000"/>
          <w:sz w:val="20"/>
          <w:szCs w:val="20"/>
        </w:rPr>
      </w:pPr>
      <w:r w:rsidRPr="001D0A60">
        <w:rPr>
          <w:color w:val="000000"/>
          <w:sz w:val="20"/>
          <w:szCs w:val="20"/>
        </w:rPr>
        <w:t>3</w:t>
      </w:r>
      <w:r w:rsidRPr="001D0A60">
        <w:rPr>
          <w:rFonts w:hint="eastAsia"/>
          <w:color w:val="000000"/>
          <w:sz w:val="20"/>
          <w:szCs w:val="20"/>
        </w:rPr>
        <w:t>、</w:t>
      </w:r>
      <w:r w:rsidRPr="001D0A60">
        <w:rPr>
          <w:rFonts w:hint="eastAsia"/>
          <w:color w:val="000000"/>
          <w:sz w:val="20"/>
          <w:szCs w:val="20"/>
        </w:rPr>
        <w:tab/>
      </w:r>
      <w:r w:rsidRPr="001D0A60">
        <w:rPr>
          <w:rFonts w:hint="eastAsia"/>
          <w:color w:val="000000"/>
          <w:sz w:val="20"/>
          <w:szCs w:val="20"/>
        </w:rPr>
        <w:t>中国注册会计师协会</w:t>
      </w:r>
      <w:r w:rsidRPr="001D0A60">
        <w:rPr>
          <w:rFonts w:hint="eastAsia"/>
          <w:color w:val="000000"/>
          <w:sz w:val="20"/>
          <w:szCs w:val="20"/>
        </w:rPr>
        <w:t xml:space="preserve">. </w:t>
      </w:r>
      <w:r w:rsidRPr="001D0A60">
        <w:rPr>
          <w:rFonts w:hint="eastAsia"/>
          <w:color w:val="000000"/>
          <w:sz w:val="20"/>
          <w:szCs w:val="20"/>
        </w:rPr>
        <w:t>《财务成本管理</w:t>
      </w:r>
      <w:r w:rsidRPr="001D0A60">
        <w:rPr>
          <w:rFonts w:hint="eastAsia"/>
          <w:color w:val="000000"/>
          <w:sz w:val="20"/>
          <w:szCs w:val="20"/>
        </w:rPr>
        <w:t>CPA</w:t>
      </w:r>
      <w:r w:rsidRPr="001D0A60">
        <w:rPr>
          <w:rFonts w:hint="eastAsia"/>
          <w:color w:val="000000"/>
          <w:sz w:val="20"/>
          <w:szCs w:val="20"/>
        </w:rPr>
        <w:t>》（</w:t>
      </w:r>
      <w:r w:rsidRPr="001D0A60">
        <w:rPr>
          <w:rFonts w:hint="eastAsia"/>
          <w:color w:val="000000"/>
          <w:sz w:val="20"/>
          <w:szCs w:val="20"/>
        </w:rPr>
        <w:t>2019</w:t>
      </w:r>
      <w:r w:rsidRPr="001D0A60">
        <w:rPr>
          <w:rFonts w:hint="eastAsia"/>
          <w:color w:val="000000"/>
          <w:sz w:val="20"/>
          <w:szCs w:val="20"/>
        </w:rPr>
        <w:t>年版），北京：中国财政经济出版社，</w:t>
      </w:r>
      <w:r w:rsidRPr="001D0A60">
        <w:rPr>
          <w:rFonts w:hint="eastAsia"/>
          <w:color w:val="000000"/>
          <w:sz w:val="20"/>
          <w:szCs w:val="20"/>
        </w:rPr>
        <w:t>2019-03</w:t>
      </w:r>
    </w:p>
    <w:p w:rsidR="004A64FA" w:rsidRPr="001D0A60" w:rsidRDefault="004A64FA">
      <w:pPr>
        <w:snapToGrid w:val="0"/>
        <w:spacing w:line="288" w:lineRule="auto"/>
        <w:ind w:leftChars="342" w:left="718" w:firstLineChars="50" w:firstLine="100"/>
        <w:rPr>
          <w:color w:val="000000"/>
          <w:sz w:val="20"/>
          <w:szCs w:val="20"/>
        </w:rPr>
      </w:pPr>
    </w:p>
    <w:p w:rsidR="004A64FA" w:rsidRPr="001D0A60" w:rsidRDefault="004A64FA">
      <w:pPr>
        <w:snapToGrid w:val="0"/>
        <w:spacing w:line="288" w:lineRule="auto"/>
        <w:ind w:leftChars="342" w:left="718" w:firstLineChars="50" w:firstLine="105"/>
        <w:rPr>
          <w:color w:val="000000"/>
          <w:szCs w:val="21"/>
        </w:rPr>
      </w:pPr>
    </w:p>
    <w:p w:rsidR="007031F2" w:rsidRPr="001D0A60" w:rsidRDefault="004A64FA">
      <w:pPr>
        <w:snapToGrid w:val="0"/>
        <w:spacing w:line="288" w:lineRule="auto"/>
        <w:ind w:firstLineChars="196" w:firstLine="394"/>
        <w:rPr>
          <w:color w:val="000000"/>
          <w:sz w:val="20"/>
          <w:szCs w:val="20"/>
        </w:rPr>
      </w:pPr>
      <w:r w:rsidRPr="001D0A60">
        <w:rPr>
          <w:rFonts w:hint="eastAsia"/>
          <w:b/>
          <w:bCs/>
          <w:color w:val="000000"/>
          <w:sz w:val="20"/>
          <w:szCs w:val="20"/>
        </w:rPr>
        <w:t>课程网站网址：</w:t>
      </w:r>
    </w:p>
    <w:p w:rsidR="007031F2" w:rsidRPr="001D0A60" w:rsidRDefault="004A64FA">
      <w:pPr>
        <w:adjustRightInd w:val="0"/>
        <w:snapToGrid w:val="0"/>
        <w:spacing w:line="288" w:lineRule="auto"/>
        <w:ind w:firstLineChars="196" w:firstLine="394"/>
        <w:rPr>
          <w:color w:val="000000"/>
          <w:sz w:val="20"/>
          <w:szCs w:val="20"/>
        </w:rPr>
      </w:pPr>
      <w:r w:rsidRPr="001D0A60">
        <w:rPr>
          <w:b/>
          <w:bCs/>
          <w:color w:val="000000"/>
          <w:sz w:val="20"/>
          <w:szCs w:val="20"/>
        </w:rPr>
        <w:t>先修课程：</w:t>
      </w:r>
      <w:r w:rsidRPr="001D0A60">
        <w:rPr>
          <w:color w:val="000000"/>
          <w:sz w:val="20"/>
          <w:szCs w:val="20"/>
        </w:rPr>
        <w:t>【</w:t>
      </w:r>
      <w:r w:rsidRPr="001D0A60">
        <w:rPr>
          <w:rFonts w:hint="eastAsia"/>
          <w:color w:val="000000"/>
          <w:sz w:val="20"/>
          <w:szCs w:val="20"/>
        </w:rPr>
        <w:t>会计学原理</w:t>
      </w:r>
      <w:r w:rsidRPr="001D0A60">
        <w:rPr>
          <w:color w:val="000000"/>
          <w:sz w:val="20"/>
          <w:szCs w:val="20"/>
        </w:rPr>
        <w:t>】</w:t>
      </w:r>
    </w:p>
    <w:p w:rsidR="007031F2" w:rsidRPr="001D0A60" w:rsidRDefault="004A64FA">
      <w:pPr>
        <w:adjustRightInd w:val="0"/>
        <w:snapToGrid w:val="0"/>
        <w:spacing w:beforeLines="50" w:before="156" w:afterLines="50" w:after="156" w:line="288" w:lineRule="auto"/>
        <w:ind w:firstLineChars="145" w:firstLine="348"/>
        <w:rPr>
          <w:b/>
          <w:color w:val="000000"/>
          <w:sz w:val="24"/>
          <w:szCs w:val="20"/>
        </w:rPr>
      </w:pPr>
      <w:r w:rsidRPr="001D0A60">
        <w:rPr>
          <w:rFonts w:ascii="黑体" w:eastAsia="黑体" w:hAnsi="宋体"/>
          <w:sz w:val="24"/>
        </w:rPr>
        <w:t>二</w:t>
      </w:r>
      <w:r w:rsidRPr="001D0A60">
        <w:rPr>
          <w:rFonts w:ascii="黑体" w:eastAsia="黑体" w:hAnsi="宋体" w:hint="eastAsia"/>
          <w:sz w:val="24"/>
        </w:rPr>
        <w:t>、</w:t>
      </w:r>
      <w:r w:rsidRPr="001D0A60">
        <w:rPr>
          <w:rFonts w:ascii="黑体" w:eastAsia="黑体" w:hAnsi="宋体"/>
          <w:sz w:val="24"/>
        </w:rPr>
        <w:t>课程简介</w:t>
      </w:r>
    </w:p>
    <w:p w:rsidR="007031F2" w:rsidRPr="001D0A60" w:rsidRDefault="004A64FA">
      <w:pPr>
        <w:snapToGrid w:val="0"/>
        <w:spacing w:line="288" w:lineRule="auto"/>
        <w:ind w:firstLineChars="200" w:firstLine="400"/>
        <w:rPr>
          <w:color w:val="000000"/>
          <w:sz w:val="20"/>
          <w:szCs w:val="20"/>
        </w:rPr>
      </w:pPr>
      <w:r w:rsidRPr="001D0A60">
        <w:rPr>
          <w:rFonts w:hint="eastAsia"/>
          <w:color w:val="000000"/>
          <w:sz w:val="20"/>
          <w:szCs w:val="20"/>
        </w:rPr>
        <w:t>本课程是工商管理与经济类的专业基础课程，更是会计、审计、财务管理专业的专业核心主干课程。课程主要是以公司理财为主体，以价值评估为主线，围绕着不断创造企业价值这一理财目标，在介绍财务管理内容、财务报表分析技术的基础上，系统的向学生讲解货币时间价值、风险与收益权衡的资产定价技术等价值评估的基本理论与技术。并基于财务管理的价值评估理论和技术，讲解投资项目价值评估的基本方法、资本结构与资本成本、股利政策、公司融资方式、流动资产管理与短期融资的日常营运活动管理策略的基本理论与方法。</w:t>
      </w:r>
    </w:p>
    <w:p w:rsidR="004A64FA" w:rsidRPr="001D0A60" w:rsidRDefault="004A64FA" w:rsidP="004A64FA">
      <w:pPr>
        <w:snapToGrid w:val="0"/>
        <w:spacing w:line="288" w:lineRule="auto"/>
        <w:ind w:firstLineChars="200" w:firstLine="400"/>
        <w:rPr>
          <w:color w:val="000000"/>
          <w:sz w:val="20"/>
          <w:szCs w:val="20"/>
        </w:rPr>
      </w:pPr>
      <w:r w:rsidRPr="001D0A60">
        <w:rPr>
          <w:rFonts w:hint="eastAsia"/>
          <w:color w:val="000000"/>
          <w:sz w:val="20"/>
          <w:szCs w:val="20"/>
        </w:rPr>
        <w:t>1</w:t>
      </w:r>
      <w:r w:rsidRPr="001D0A60">
        <w:rPr>
          <w:rFonts w:hint="eastAsia"/>
          <w:color w:val="000000"/>
          <w:sz w:val="20"/>
          <w:szCs w:val="20"/>
        </w:rPr>
        <w:t>）理解财务管理的目标及其实现途径，能理解企业的社会责任，分析利益相关者利益及其冲突，掌握利益相关者利益权衡的原则。</w:t>
      </w:r>
    </w:p>
    <w:p w:rsidR="004A64FA" w:rsidRPr="001D0A60" w:rsidRDefault="004A64FA" w:rsidP="004A64FA">
      <w:pPr>
        <w:snapToGrid w:val="0"/>
        <w:spacing w:line="288" w:lineRule="auto"/>
        <w:ind w:firstLineChars="200" w:firstLine="400"/>
        <w:rPr>
          <w:color w:val="000000"/>
          <w:sz w:val="20"/>
          <w:szCs w:val="20"/>
        </w:rPr>
      </w:pPr>
      <w:r w:rsidRPr="001D0A60">
        <w:rPr>
          <w:rFonts w:hint="eastAsia"/>
          <w:color w:val="000000"/>
          <w:sz w:val="20"/>
          <w:szCs w:val="20"/>
        </w:rPr>
        <w:t>2</w:t>
      </w:r>
      <w:r w:rsidRPr="001D0A60">
        <w:rPr>
          <w:rFonts w:hint="eastAsia"/>
          <w:color w:val="000000"/>
          <w:sz w:val="20"/>
          <w:szCs w:val="20"/>
        </w:rPr>
        <w:t>）理解时间价值、风险报酬、财务估值等财务管理决策所需的理财观念。</w:t>
      </w:r>
    </w:p>
    <w:p w:rsidR="004A64FA" w:rsidRPr="001D0A60" w:rsidRDefault="004A64FA" w:rsidP="004A64FA">
      <w:pPr>
        <w:snapToGrid w:val="0"/>
        <w:spacing w:line="288" w:lineRule="auto"/>
        <w:ind w:firstLineChars="200" w:firstLine="400"/>
        <w:rPr>
          <w:color w:val="000000"/>
          <w:sz w:val="20"/>
          <w:szCs w:val="20"/>
        </w:rPr>
      </w:pPr>
      <w:r w:rsidRPr="001D0A60">
        <w:rPr>
          <w:rFonts w:hint="eastAsia"/>
          <w:color w:val="000000"/>
          <w:sz w:val="20"/>
          <w:szCs w:val="20"/>
        </w:rPr>
        <w:t>3</w:t>
      </w:r>
      <w:r w:rsidRPr="001D0A60">
        <w:rPr>
          <w:rFonts w:hint="eastAsia"/>
          <w:color w:val="000000"/>
          <w:sz w:val="20"/>
          <w:szCs w:val="20"/>
        </w:rPr>
        <w:t>）掌握财务分析的基本方法，能运用财务指标的分析找出企业的找出企业问题的根源，提出改进措施。</w:t>
      </w:r>
    </w:p>
    <w:p w:rsidR="004A64FA" w:rsidRPr="001D0A60" w:rsidRDefault="004A64FA" w:rsidP="004A64FA">
      <w:pPr>
        <w:snapToGrid w:val="0"/>
        <w:spacing w:line="288" w:lineRule="auto"/>
        <w:ind w:firstLineChars="200" w:firstLine="400"/>
        <w:rPr>
          <w:color w:val="000000"/>
          <w:sz w:val="20"/>
          <w:szCs w:val="20"/>
        </w:rPr>
      </w:pPr>
      <w:r w:rsidRPr="001D0A60">
        <w:rPr>
          <w:rFonts w:hint="eastAsia"/>
          <w:color w:val="000000"/>
          <w:sz w:val="20"/>
          <w:szCs w:val="20"/>
        </w:rPr>
        <w:t>4</w:t>
      </w:r>
      <w:r w:rsidRPr="001D0A60">
        <w:rPr>
          <w:rFonts w:hint="eastAsia"/>
          <w:color w:val="000000"/>
          <w:sz w:val="20"/>
          <w:szCs w:val="20"/>
        </w:rPr>
        <w:t>）掌握企业筹资管理、投资管理、营运资金管理、股利分配等财务管理的基本理论与方法</w:t>
      </w:r>
    </w:p>
    <w:p w:rsidR="007031F2" w:rsidRPr="001D0A60" w:rsidRDefault="004A64FA" w:rsidP="004A64FA">
      <w:pPr>
        <w:snapToGrid w:val="0"/>
        <w:spacing w:line="288" w:lineRule="auto"/>
        <w:ind w:firstLineChars="200" w:firstLine="400"/>
        <w:rPr>
          <w:color w:val="000000"/>
          <w:sz w:val="20"/>
          <w:szCs w:val="20"/>
        </w:rPr>
      </w:pPr>
      <w:r w:rsidRPr="001D0A60">
        <w:rPr>
          <w:rFonts w:hint="eastAsia"/>
          <w:color w:val="000000"/>
          <w:sz w:val="20"/>
          <w:szCs w:val="20"/>
        </w:rPr>
        <w:t>5</w:t>
      </w:r>
      <w:r w:rsidRPr="001D0A60">
        <w:rPr>
          <w:rFonts w:hint="eastAsia"/>
          <w:color w:val="000000"/>
          <w:sz w:val="20"/>
          <w:szCs w:val="20"/>
        </w:rPr>
        <w:t>）具备在一定背景和前提下，运用财务管理知识分析和解决解决现实公司筹资、资本预算、营运资金管理、股利分配问题。</w:t>
      </w:r>
    </w:p>
    <w:p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sz w:val="24"/>
        </w:rPr>
        <w:lastRenderedPageBreak/>
        <w:t>三</w:t>
      </w:r>
      <w:r w:rsidRPr="001D0A60">
        <w:rPr>
          <w:rFonts w:ascii="黑体" w:eastAsia="黑体" w:hAnsi="宋体" w:hint="eastAsia"/>
          <w:sz w:val="24"/>
        </w:rPr>
        <w:t>、</w:t>
      </w:r>
      <w:r w:rsidRPr="001D0A60">
        <w:rPr>
          <w:rFonts w:ascii="黑体" w:eastAsia="黑体" w:hAnsi="宋体"/>
          <w:sz w:val="24"/>
        </w:rPr>
        <w:t>选课建议</w:t>
      </w:r>
    </w:p>
    <w:p w:rsidR="007031F2" w:rsidRPr="001D0A60" w:rsidRDefault="001D0A60" w:rsidP="004A64FA">
      <w:pPr>
        <w:snapToGrid w:val="0"/>
        <w:spacing w:line="288" w:lineRule="auto"/>
        <w:ind w:firstLineChars="200" w:firstLine="400"/>
        <w:rPr>
          <w:color w:val="000000"/>
          <w:sz w:val="20"/>
          <w:szCs w:val="20"/>
        </w:rPr>
      </w:pPr>
      <w:r>
        <w:rPr>
          <w:rFonts w:hint="eastAsia"/>
          <w:color w:val="000000"/>
          <w:sz w:val="20"/>
          <w:szCs w:val="20"/>
        </w:rPr>
        <w:t>珠宝学院</w:t>
      </w:r>
      <w:r w:rsidR="004A64FA" w:rsidRPr="001D0A60">
        <w:rPr>
          <w:rFonts w:hint="eastAsia"/>
          <w:color w:val="000000"/>
          <w:sz w:val="20"/>
          <w:szCs w:val="20"/>
        </w:rPr>
        <w:t>大三</w:t>
      </w:r>
      <w:r>
        <w:rPr>
          <w:rFonts w:hint="eastAsia"/>
          <w:color w:val="000000"/>
          <w:sz w:val="20"/>
          <w:szCs w:val="20"/>
        </w:rPr>
        <w:t>下半学期，先修会计学，管理学的</w:t>
      </w:r>
      <w:r w:rsidR="004A64FA" w:rsidRPr="001D0A60">
        <w:rPr>
          <w:rFonts w:hint="eastAsia"/>
          <w:color w:val="000000"/>
          <w:sz w:val="20"/>
          <w:szCs w:val="20"/>
        </w:rPr>
        <w:t>学生</w:t>
      </w:r>
      <w:r w:rsidR="004A64FA" w:rsidRPr="001D0A60">
        <w:rPr>
          <w:color w:val="000000"/>
          <w:sz w:val="20"/>
          <w:szCs w:val="20"/>
        </w:rPr>
        <w:t>。</w:t>
      </w:r>
    </w:p>
    <w:p w:rsidR="007031F2" w:rsidRPr="001D0A60" w:rsidRDefault="007031F2" w:rsidP="004A64FA">
      <w:pPr>
        <w:snapToGrid w:val="0"/>
        <w:spacing w:line="288" w:lineRule="auto"/>
        <w:rPr>
          <w:color w:val="000000"/>
          <w:sz w:val="20"/>
          <w:szCs w:val="20"/>
        </w:rPr>
      </w:pPr>
    </w:p>
    <w:p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sz w:val="24"/>
        </w:rPr>
        <w:t>四</w:t>
      </w:r>
      <w:r w:rsidRPr="001D0A60">
        <w:rPr>
          <w:rFonts w:ascii="黑体" w:eastAsia="黑体" w:hAnsi="宋体" w:hint="eastAsia"/>
          <w:sz w:val="24"/>
        </w:rPr>
        <w:t>、</w:t>
      </w:r>
      <w:r w:rsidRPr="001D0A60">
        <w:rPr>
          <w:rFonts w:ascii="黑体" w:eastAsia="黑体" w:hAnsi="宋体"/>
          <w:sz w:val="24"/>
        </w:rPr>
        <w:t>课程与</w:t>
      </w:r>
      <w:r w:rsidRPr="001D0A60">
        <w:rPr>
          <w:rFonts w:ascii="黑体" w:eastAsia="黑体" w:hAnsi="宋体" w:hint="eastAsia"/>
          <w:sz w:val="24"/>
        </w:rPr>
        <w:t>专业毕业要求</w:t>
      </w:r>
      <w:r w:rsidRPr="001D0A60">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031F2" w:rsidRPr="001D0A60">
        <w:tc>
          <w:tcPr>
            <w:tcW w:w="6803" w:type="dxa"/>
          </w:tcPr>
          <w:p w:rsidR="007031F2" w:rsidRPr="001D0A60" w:rsidRDefault="004A64FA">
            <w:pPr>
              <w:jc w:val="center"/>
              <w:rPr>
                <w:rFonts w:ascii="黑体" w:eastAsia="黑体" w:hAnsi="黑体" w:cs="黑体"/>
                <w:kern w:val="0"/>
                <w:sz w:val="20"/>
                <w:szCs w:val="20"/>
              </w:rPr>
            </w:pPr>
            <w:r w:rsidRPr="001D0A60">
              <w:rPr>
                <w:rFonts w:ascii="黑体" w:eastAsia="黑体" w:hAnsi="黑体" w:cs="黑体" w:hint="eastAsia"/>
                <w:kern w:val="0"/>
                <w:sz w:val="20"/>
                <w:szCs w:val="20"/>
              </w:rPr>
              <w:t>专业毕业要求</w:t>
            </w:r>
          </w:p>
        </w:tc>
        <w:tc>
          <w:tcPr>
            <w:tcW w:w="727" w:type="dxa"/>
          </w:tcPr>
          <w:p w:rsidR="007031F2" w:rsidRPr="001D0A60" w:rsidRDefault="004A64FA">
            <w:pPr>
              <w:jc w:val="center"/>
              <w:rPr>
                <w:rFonts w:ascii="黑体" w:eastAsia="黑体" w:hAnsi="黑体" w:cs="黑体"/>
                <w:kern w:val="0"/>
                <w:sz w:val="20"/>
                <w:szCs w:val="20"/>
              </w:rPr>
            </w:pPr>
            <w:r w:rsidRPr="001D0A60">
              <w:rPr>
                <w:rFonts w:ascii="黑体" w:eastAsia="黑体" w:hAnsi="黑体" w:cs="黑体" w:hint="eastAsia"/>
                <w:kern w:val="0"/>
                <w:sz w:val="20"/>
                <w:szCs w:val="20"/>
              </w:rPr>
              <w:t>关联</w:t>
            </w:r>
          </w:p>
        </w:tc>
      </w:tr>
      <w:tr w:rsidR="007031F2" w:rsidRPr="001D0A60">
        <w:tc>
          <w:tcPr>
            <w:tcW w:w="6803" w:type="dxa"/>
            <w:vAlign w:val="center"/>
          </w:tcPr>
          <w:p w:rsidR="007031F2" w:rsidRPr="001D0A60" w:rsidRDefault="004A64FA">
            <w:pPr>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341</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清楚资金的筹集、投资、运营、分配</w:t>
            </w:r>
          </w:p>
        </w:tc>
        <w:tc>
          <w:tcPr>
            <w:tcW w:w="727" w:type="dxa"/>
            <w:vAlign w:val="center"/>
          </w:tcPr>
          <w:p w:rsidR="007031F2" w:rsidRPr="001D0A60" w:rsidRDefault="001D0A60">
            <w:pPr>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tc>
          <w:tcPr>
            <w:tcW w:w="6803" w:type="dxa"/>
            <w:vAlign w:val="center"/>
          </w:tcPr>
          <w:p w:rsidR="007031F2" w:rsidRPr="001D0A60" w:rsidRDefault="004A64FA">
            <w:pPr>
              <w:widowControl/>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342</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掌握财务计划与决策、财务预算与控制</w:t>
            </w:r>
          </w:p>
        </w:tc>
        <w:tc>
          <w:tcPr>
            <w:tcW w:w="727" w:type="dxa"/>
            <w:vAlign w:val="center"/>
          </w:tcPr>
          <w:p w:rsidR="007031F2" w:rsidRPr="001D0A60" w:rsidRDefault="004A64FA">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tc>
          <w:tcPr>
            <w:tcW w:w="6803" w:type="dxa"/>
            <w:vAlign w:val="center"/>
          </w:tcPr>
          <w:p w:rsidR="007031F2" w:rsidRPr="001D0A60" w:rsidRDefault="004A64FA">
            <w:pPr>
              <w:widowControl/>
              <w:rPr>
                <w:kern w:val="0"/>
                <w:sz w:val="20"/>
                <w:szCs w:val="20"/>
              </w:rPr>
            </w:pPr>
            <w:r w:rsidRPr="001D0A60">
              <w:rPr>
                <w:rFonts w:ascii="仿宋" w:eastAsia="仿宋" w:hAnsi="仿宋" w:cs="宋体" w:hint="eastAsia"/>
                <w:color w:val="000000"/>
                <w:kern w:val="0"/>
                <w:sz w:val="24"/>
                <w:szCs w:val="24"/>
              </w:rPr>
              <w:t>LO</w:t>
            </w:r>
            <w:r w:rsidR="001D0A60" w:rsidRPr="001D0A60">
              <w:rPr>
                <w:rFonts w:ascii="仿宋" w:eastAsia="仿宋" w:hAnsi="仿宋" w:cs="宋体"/>
                <w:color w:val="000000"/>
                <w:kern w:val="0"/>
                <w:sz w:val="24"/>
                <w:szCs w:val="24"/>
              </w:rPr>
              <w:t>343</w:t>
            </w:r>
            <w:r w:rsidRPr="001D0A60">
              <w:rPr>
                <w:rFonts w:ascii="仿宋" w:eastAsia="仿宋" w:hAnsi="仿宋" w:cs="宋体" w:hint="eastAsia"/>
                <w:color w:val="000000"/>
                <w:kern w:val="0"/>
                <w:sz w:val="24"/>
                <w:szCs w:val="24"/>
              </w:rPr>
              <w:t>：</w:t>
            </w:r>
            <w:r w:rsidR="001D0A60" w:rsidRPr="001D0A60">
              <w:rPr>
                <w:rFonts w:ascii="仿宋" w:eastAsia="仿宋" w:hAnsi="仿宋" w:cs="宋体" w:hint="eastAsia"/>
                <w:color w:val="000000"/>
                <w:kern w:val="0"/>
                <w:sz w:val="24"/>
                <w:szCs w:val="24"/>
              </w:rPr>
              <w:t>具备一定的财务分析与考核等财务管理基本能力</w:t>
            </w:r>
          </w:p>
        </w:tc>
        <w:tc>
          <w:tcPr>
            <w:tcW w:w="727" w:type="dxa"/>
            <w:vAlign w:val="center"/>
          </w:tcPr>
          <w:p w:rsidR="007031F2" w:rsidRPr="001D0A60" w:rsidRDefault="001D0A60">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r w:rsidR="007031F2" w:rsidRPr="001D0A60">
        <w:tc>
          <w:tcPr>
            <w:tcW w:w="6803" w:type="dxa"/>
            <w:vAlign w:val="center"/>
          </w:tcPr>
          <w:p w:rsidR="007031F2" w:rsidRPr="001D0A60" w:rsidRDefault="001D0A60">
            <w:pPr>
              <w:widowControl/>
              <w:rPr>
                <w:rFonts w:ascii="仿宋" w:eastAsia="仿宋" w:hAnsi="仿宋" w:cs="宋体"/>
                <w:color w:val="000000"/>
                <w:kern w:val="0"/>
                <w:sz w:val="24"/>
                <w:szCs w:val="20"/>
              </w:rPr>
            </w:pPr>
            <w:r w:rsidRPr="001D0A60">
              <w:rPr>
                <w:rFonts w:ascii="仿宋" w:eastAsia="仿宋" w:hAnsi="仿宋" w:cs="宋体"/>
                <w:color w:val="000000"/>
                <w:kern w:val="0"/>
                <w:sz w:val="24"/>
                <w:szCs w:val="24"/>
              </w:rPr>
              <w:t>LO411</w:t>
            </w:r>
            <w:r w:rsidRPr="001D0A60">
              <w:rPr>
                <w:rFonts w:ascii="仿宋" w:eastAsia="仿宋" w:hAnsi="仿宋" w:cs="宋体" w:hint="eastAsia"/>
                <w:color w:val="000000"/>
                <w:kern w:val="0"/>
                <w:sz w:val="24"/>
                <w:szCs w:val="24"/>
              </w:rPr>
              <w:t>：遵纪守法：遵守校纪校规，具备法律意识</w:t>
            </w:r>
          </w:p>
        </w:tc>
        <w:tc>
          <w:tcPr>
            <w:tcW w:w="727" w:type="dxa"/>
            <w:vAlign w:val="center"/>
          </w:tcPr>
          <w:p w:rsidR="007031F2" w:rsidRPr="001D0A60" w:rsidRDefault="004A64FA">
            <w:pPr>
              <w:widowControl/>
              <w:jc w:val="center"/>
              <w:rPr>
                <w:rFonts w:ascii="仿宋" w:eastAsia="仿宋" w:hAnsi="仿宋" w:cs="宋体"/>
                <w:color w:val="000000"/>
                <w:kern w:val="0"/>
                <w:sz w:val="24"/>
                <w:szCs w:val="20"/>
              </w:rPr>
            </w:pPr>
            <w:r w:rsidRPr="001D0A60">
              <w:rPr>
                <w:color w:val="000000"/>
                <w:kern w:val="0"/>
                <w:sz w:val="20"/>
                <w:szCs w:val="20"/>
              </w:rPr>
              <w:sym w:font="Wingdings 2" w:char="F098"/>
            </w:r>
          </w:p>
        </w:tc>
      </w:tr>
    </w:tbl>
    <w:p w:rsidR="007031F2" w:rsidRPr="001D0A60" w:rsidRDefault="004A64FA">
      <w:pPr>
        <w:ind w:firstLineChars="200" w:firstLine="420"/>
      </w:pPr>
      <w:r w:rsidRPr="001D0A60">
        <w:rPr>
          <w:rFonts w:hint="eastAsia"/>
        </w:rPr>
        <w:t>备注：</w:t>
      </w:r>
      <w:r w:rsidRPr="001D0A60">
        <w:rPr>
          <w:rFonts w:hint="eastAsia"/>
        </w:rPr>
        <w:t>LO=</w:t>
      </w:r>
      <w:r w:rsidRPr="001D0A60">
        <w:t>learning outcomes</w:t>
      </w:r>
      <w:r w:rsidRPr="001D0A60">
        <w:rPr>
          <w:rFonts w:hint="eastAsia"/>
        </w:rPr>
        <w:t>（学习成果）</w:t>
      </w:r>
    </w:p>
    <w:p w:rsidR="007031F2" w:rsidRPr="001D0A60" w:rsidRDefault="007031F2"/>
    <w:p w:rsidR="007031F2" w:rsidRPr="001D0A60" w:rsidRDefault="004A64FA" w:rsidP="001D0A60">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五、</w:t>
      </w:r>
      <w:r w:rsidRPr="001D0A60">
        <w:rPr>
          <w:rFonts w:ascii="黑体" w:eastAsia="黑体" w:hAnsi="宋体"/>
          <w:sz w:val="24"/>
        </w:rPr>
        <w:t>课程</w:t>
      </w:r>
      <w:r w:rsidRPr="001D0A60">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7031F2" w:rsidRPr="001D0A60">
        <w:tc>
          <w:tcPr>
            <w:tcW w:w="535" w:type="dxa"/>
            <w:shd w:val="clear" w:color="auto" w:fill="auto"/>
          </w:tcPr>
          <w:p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序号</w:t>
            </w:r>
          </w:p>
        </w:tc>
        <w:tc>
          <w:tcPr>
            <w:tcW w:w="1175" w:type="dxa"/>
            <w:shd w:val="clear" w:color="auto" w:fill="auto"/>
          </w:tcPr>
          <w:p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课程预期</w:t>
            </w:r>
          </w:p>
          <w:p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学习成果</w:t>
            </w:r>
          </w:p>
        </w:tc>
        <w:tc>
          <w:tcPr>
            <w:tcW w:w="2470" w:type="dxa"/>
            <w:shd w:val="clear" w:color="auto" w:fill="auto"/>
            <w:vAlign w:val="center"/>
          </w:tcPr>
          <w:p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课程目标</w:t>
            </w:r>
          </w:p>
          <w:p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（细化的预期学习成果）</w:t>
            </w:r>
          </w:p>
        </w:tc>
        <w:tc>
          <w:tcPr>
            <w:tcW w:w="2199" w:type="dxa"/>
            <w:shd w:val="clear" w:color="auto" w:fill="auto"/>
            <w:vAlign w:val="center"/>
          </w:tcPr>
          <w:p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教与</w:t>
            </w:r>
            <w:proofErr w:type="gramStart"/>
            <w:r w:rsidRPr="001D0A60">
              <w:rPr>
                <w:rFonts w:asciiTheme="majorEastAsia" w:eastAsiaTheme="majorEastAsia" w:hAnsiTheme="majorEastAsia" w:hint="eastAsia"/>
                <w:b/>
                <w:color w:val="000000"/>
                <w:sz w:val="20"/>
                <w:szCs w:val="20"/>
              </w:rPr>
              <w:t>学方式</w:t>
            </w:r>
            <w:proofErr w:type="gramEnd"/>
          </w:p>
        </w:tc>
        <w:tc>
          <w:tcPr>
            <w:tcW w:w="1276" w:type="dxa"/>
            <w:shd w:val="clear" w:color="auto" w:fill="auto"/>
            <w:vAlign w:val="center"/>
          </w:tcPr>
          <w:p w:rsidR="007031F2" w:rsidRPr="001D0A60" w:rsidRDefault="004A64FA">
            <w:pPr>
              <w:snapToGrid w:val="0"/>
              <w:spacing w:line="288" w:lineRule="auto"/>
              <w:jc w:val="center"/>
              <w:rPr>
                <w:rFonts w:asciiTheme="majorEastAsia" w:eastAsiaTheme="majorEastAsia" w:hAnsiTheme="majorEastAsia"/>
                <w:b/>
                <w:color w:val="000000"/>
                <w:sz w:val="20"/>
                <w:szCs w:val="20"/>
              </w:rPr>
            </w:pPr>
            <w:r w:rsidRPr="001D0A60">
              <w:rPr>
                <w:rFonts w:asciiTheme="majorEastAsia" w:eastAsiaTheme="majorEastAsia" w:hAnsiTheme="majorEastAsia" w:hint="eastAsia"/>
                <w:b/>
                <w:color w:val="000000"/>
                <w:sz w:val="20"/>
                <w:szCs w:val="20"/>
              </w:rPr>
              <w:t>评价方式</w:t>
            </w:r>
          </w:p>
        </w:tc>
      </w:tr>
      <w:tr w:rsidR="007031F2" w:rsidRPr="001D0A60">
        <w:tc>
          <w:tcPr>
            <w:tcW w:w="535" w:type="dxa"/>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1</w:t>
            </w:r>
          </w:p>
        </w:tc>
        <w:tc>
          <w:tcPr>
            <w:tcW w:w="1175" w:type="dxa"/>
            <w:shd w:val="clear" w:color="auto" w:fill="auto"/>
            <w:vAlign w:val="center"/>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LO211</w:t>
            </w:r>
          </w:p>
        </w:tc>
        <w:tc>
          <w:tcPr>
            <w:tcW w:w="2470" w:type="dxa"/>
            <w:shd w:val="clear" w:color="auto" w:fill="auto"/>
          </w:tcPr>
          <w:p w:rsidR="007031F2" w:rsidRPr="001D0A60" w:rsidRDefault="007031F2">
            <w:pPr>
              <w:rPr>
                <w:rFonts w:asciiTheme="majorEastAsia" w:eastAsiaTheme="majorEastAsia" w:hAnsiTheme="majorEastAsia" w:cs="宋体"/>
                <w:color w:val="000000"/>
                <w:kern w:val="0"/>
                <w:sz w:val="24"/>
              </w:rPr>
            </w:pPr>
          </w:p>
        </w:tc>
        <w:tc>
          <w:tcPr>
            <w:tcW w:w="2199"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c>
          <w:tcPr>
            <w:tcW w:w="1276"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r>
      <w:tr w:rsidR="007031F2" w:rsidRPr="001D0A60">
        <w:tc>
          <w:tcPr>
            <w:tcW w:w="535" w:type="dxa"/>
            <w:vMerge w:val="restart"/>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2</w:t>
            </w:r>
          </w:p>
        </w:tc>
        <w:tc>
          <w:tcPr>
            <w:tcW w:w="1175" w:type="dxa"/>
            <w:vMerge w:val="restart"/>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LO32</w:t>
            </w:r>
          </w:p>
        </w:tc>
        <w:tc>
          <w:tcPr>
            <w:tcW w:w="2470" w:type="dxa"/>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1.</w:t>
            </w:r>
          </w:p>
        </w:tc>
        <w:tc>
          <w:tcPr>
            <w:tcW w:w="2199"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c>
          <w:tcPr>
            <w:tcW w:w="1276"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r>
      <w:tr w:rsidR="007031F2" w:rsidRPr="001D0A60">
        <w:tc>
          <w:tcPr>
            <w:tcW w:w="535" w:type="dxa"/>
            <w:vMerge/>
            <w:shd w:val="clear" w:color="auto" w:fill="auto"/>
          </w:tcPr>
          <w:p w:rsidR="007031F2" w:rsidRPr="001D0A60" w:rsidRDefault="007031F2">
            <w:pPr>
              <w:rPr>
                <w:rFonts w:asciiTheme="majorEastAsia" w:eastAsiaTheme="majorEastAsia" w:hAnsiTheme="majorEastAsia" w:cs="宋体"/>
                <w:color w:val="000000"/>
                <w:kern w:val="0"/>
                <w:sz w:val="24"/>
              </w:rPr>
            </w:pPr>
          </w:p>
        </w:tc>
        <w:tc>
          <w:tcPr>
            <w:tcW w:w="1175" w:type="dxa"/>
            <w:vMerge/>
            <w:shd w:val="clear" w:color="auto" w:fill="auto"/>
          </w:tcPr>
          <w:p w:rsidR="007031F2" w:rsidRPr="001D0A60" w:rsidRDefault="007031F2">
            <w:pPr>
              <w:rPr>
                <w:rFonts w:asciiTheme="majorEastAsia" w:eastAsiaTheme="majorEastAsia" w:hAnsiTheme="majorEastAsia" w:cs="宋体"/>
                <w:color w:val="000000"/>
                <w:kern w:val="0"/>
                <w:sz w:val="24"/>
              </w:rPr>
            </w:pPr>
          </w:p>
        </w:tc>
        <w:tc>
          <w:tcPr>
            <w:tcW w:w="2470" w:type="dxa"/>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2.</w:t>
            </w:r>
          </w:p>
        </w:tc>
        <w:tc>
          <w:tcPr>
            <w:tcW w:w="2199"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c>
          <w:tcPr>
            <w:tcW w:w="1276"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r>
      <w:tr w:rsidR="007031F2" w:rsidRPr="001D0A60">
        <w:tc>
          <w:tcPr>
            <w:tcW w:w="535" w:type="dxa"/>
            <w:vMerge/>
            <w:shd w:val="clear" w:color="auto" w:fill="auto"/>
          </w:tcPr>
          <w:p w:rsidR="007031F2" w:rsidRPr="001D0A60" w:rsidRDefault="007031F2">
            <w:pPr>
              <w:rPr>
                <w:rFonts w:asciiTheme="majorEastAsia" w:eastAsiaTheme="majorEastAsia" w:hAnsiTheme="majorEastAsia" w:cs="宋体"/>
                <w:color w:val="000000"/>
                <w:kern w:val="0"/>
                <w:sz w:val="24"/>
              </w:rPr>
            </w:pPr>
          </w:p>
        </w:tc>
        <w:tc>
          <w:tcPr>
            <w:tcW w:w="1175" w:type="dxa"/>
            <w:vMerge/>
            <w:shd w:val="clear" w:color="auto" w:fill="auto"/>
          </w:tcPr>
          <w:p w:rsidR="007031F2" w:rsidRPr="001D0A60" w:rsidRDefault="007031F2">
            <w:pPr>
              <w:rPr>
                <w:rFonts w:asciiTheme="majorEastAsia" w:eastAsiaTheme="majorEastAsia" w:hAnsiTheme="majorEastAsia" w:cs="宋体"/>
                <w:color w:val="000000"/>
                <w:kern w:val="0"/>
                <w:sz w:val="24"/>
              </w:rPr>
            </w:pPr>
          </w:p>
        </w:tc>
        <w:tc>
          <w:tcPr>
            <w:tcW w:w="2470" w:type="dxa"/>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3.</w:t>
            </w:r>
          </w:p>
        </w:tc>
        <w:tc>
          <w:tcPr>
            <w:tcW w:w="2199"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c>
          <w:tcPr>
            <w:tcW w:w="1276"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r>
      <w:tr w:rsidR="007031F2" w:rsidRPr="001D0A60">
        <w:tc>
          <w:tcPr>
            <w:tcW w:w="535" w:type="dxa"/>
            <w:vMerge w:val="restart"/>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3</w:t>
            </w:r>
          </w:p>
        </w:tc>
        <w:tc>
          <w:tcPr>
            <w:tcW w:w="1175" w:type="dxa"/>
            <w:vMerge w:val="restart"/>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LO711</w:t>
            </w:r>
          </w:p>
        </w:tc>
        <w:tc>
          <w:tcPr>
            <w:tcW w:w="2470" w:type="dxa"/>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1.</w:t>
            </w:r>
          </w:p>
        </w:tc>
        <w:tc>
          <w:tcPr>
            <w:tcW w:w="2199"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c>
          <w:tcPr>
            <w:tcW w:w="1276"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r>
      <w:tr w:rsidR="007031F2" w:rsidRPr="001D0A60">
        <w:tc>
          <w:tcPr>
            <w:tcW w:w="535" w:type="dxa"/>
            <w:vMerge/>
            <w:shd w:val="clear" w:color="auto" w:fill="auto"/>
          </w:tcPr>
          <w:p w:rsidR="007031F2" w:rsidRPr="001D0A60" w:rsidRDefault="007031F2">
            <w:pPr>
              <w:rPr>
                <w:rFonts w:asciiTheme="majorEastAsia" w:eastAsiaTheme="majorEastAsia" w:hAnsiTheme="majorEastAsia" w:cs="宋体"/>
                <w:color w:val="000000"/>
                <w:kern w:val="0"/>
                <w:sz w:val="24"/>
              </w:rPr>
            </w:pPr>
          </w:p>
        </w:tc>
        <w:tc>
          <w:tcPr>
            <w:tcW w:w="1175" w:type="dxa"/>
            <w:vMerge/>
            <w:shd w:val="clear" w:color="auto" w:fill="auto"/>
          </w:tcPr>
          <w:p w:rsidR="007031F2" w:rsidRPr="001D0A60" w:rsidRDefault="007031F2">
            <w:pPr>
              <w:rPr>
                <w:rFonts w:asciiTheme="majorEastAsia" w:eastAsiaTheme="majorEastAsia" w:hAnsiTheme="majorEastAsia" w:cs="宋体"/>
                <w:color w:val="000000"/>
                <w:kern w:val="0"/>
                <w:sz w:val="24"/>
              </w:rPr>
            </w:pPr>
          </w:p>
        </w:tc>
        <w:tc>
          <w:tcPr>
            <w:tcW w:w="2470" w:type="dxa"/>
            <w:shd w:val="clear" w:color="auto" w:fill="auto"/>
          </w:tcPr>
          <w:p w:rsidR="007031F2" w:rsidRPr="001D0A60" w:rsidRDefault="004A64FA">
            <w:pPr>
              <w:rPr>
                <w:rFonts w:asciiTheme="majorEastAsia" w:eastAsiaTheme="majorEastAsia" w:hAnsiTheme="majorEastAsia" w:cs="宋体"/>
                <w:color w:val="000000"/>
                <w:kern w:val="0"/>
                <w:sz w:val="24"/>
              </w:rPr>
            </w:pPr>
            <w:r w:rsidRPr="001D0A60">
              <w:rPr>
                <w:rFonts w:asciiTheme="majorEastAsia" w:eastAsiaTheme="majorEastAsia" w:hAnsiTheme="majorEastAsia" w:cs="宋体" w:hint="eastAsia"/>
                <w:color w:val="000000"/>
                <w:kern w:val="0"/>
                <w:sz w:val="24"/>
                <w:szCs w:val="24"/>
              </w:rPr>
              <w:t>2.</w:t>
            </w:r>
          </w:p>
        </w:tc>
        <w:tc>
          <w:tcPr>
            <w:tcW w:w="2199"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c>
          <w:tcPr>
            <w:tcW w:w="1276" w:type="dxa"/>
            <w:shd w:val="clear" w:color="auto" w:fill="auto"/>
          </w:tcPr>
          <w:p w:rsidR="007031F2" w:rsidRPr="001D0A60" w:rsidRDefault="007031F2">
            <w:pPr>
              <w:snapToGrid w:val="0"/>
              <w:spacing w:line="288" w:lineRule="auto"/>
              <w:jc w:val="center"/>
              <w:rPr>
                <w:rFonts w:asciiTheme="majorEastAsia" w:eastAsiaTheme="majorEastAsia" w:hAnsiTheme="majorEastAsia"/>
                <w:sz w:val="24"/>
              </w:rPr>
            </w:pPr>
          </w:p>
        </w:tc>
      </w:tr>
    </w:tbl>
    <w:p w:rsidR="007031F2" w:rsidRPr="001D0A60" w:rsidRDefault="007031F2" w:rsidP="004A64FA">
      <w:pPr>
        <w:snapToGrid w:val="0"/>
        <w:spacing w:line="288" w:lineRule="auto"/>
        <w:rPr>
          <w:rFonts w:ascii="黑体" w:eastAsia="黑体" w:hAnsi="宋体"/>
          <w:sz w:val="24"/>
        </w:rPr>
      </w:pPr>
    </w:p>
    <w:p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六、</w:t>
      </w:r>
      <w:r w:rsidRPr="001D0A60">
        <w:rPr>
          <w:rFonts w:ascii="黑体" w:eastAsia="黑体" w:hAnsi="宋体"/>
          <w:sz w:val="24"/>
        </w:rPr>
        <w:t>课程内容</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初识</w:t>
      </w:r>
      <w:r w:rsidRPr="001D0A60">
        <w:rPr>
          <w:rFonts w:hint="eastAsia"/>
          <w:bCs/>
          <w:sz w:val="20"/>
          <w:szCs w:val="20"/>
        </w:rPr>
        <w:t>-</w:t>
      </w:r>
      <w:r w:rsidRPr="001D0A60">
        <w:rPr>
          <w:rFonts w:hint="eastAsia"/>
          <w:bCs/>
          <w:sz w:val="20"/>
          <w:szCs w:val="20"/>
        </w:rPr>
        <w:t>什么是财务管理</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1</w:t>
      </w:r>
      <w:r w:rsidRPr="001D0A60">
        <w:rPr>
          <w:rFonts w:hint="eastAsia"/>
          <w:bCs/>
          <w:sz w:val="20"/>
          <w:szCs w:val="20"/>
        </w:rPr>
        <w:t>、理解财务管理的内涵、目标、职能、环境（特别是金融市场环境）。</w:t>
      </w:r>
      <w:r w:rsidRPr="001D0A60">
        <w:rPr>
          <w:rFonts w:hint="eastAsia"/>
          <w:bCs/>
          <w:sz w:val="20"/>
          <w:szCs w:val="20"/>
        </w:rPr>
        <w:t>2</w:t>
      </w:r>
      <w:r w:rsidRPr="001D0A60">
        <w:rPr>
          <w:rFonts w:hint="eastAsia"/>
          <w:bCs/>
          <w:sz w:val="20"/>
          <w:szCs w:val="20"/>
        </w:rPr>
        <w:t>、理解委托代理问题对财务管理目标实现的影响。</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课时</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1.1 </w:t>
      </w:r>
      <w:r w:rsidRPr="001D0A60">
        <w:rPr>
          <w:rFonts w:hint="eastAsia"/>
          <w:bCs/>
          <w:sz w:val="20"/>
          <w:szCs w:val="20"/>
        </w:rPr>
        <w:t>财务管理概念</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1.2 </w:t>
      </w:r>
      <w:r w:rsidRPr="001D0A60">
        <w:rPr>
          <w:rFonts w:hint="eastAsia"/>
          <w:bCs/>
          <w:sz w:val="20"/>
          <w:szCs w:val="20"/>
        </w:rPr>
        <w:t>财务管理目标概述</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1.3 </w:t>
      </w:r>
      <w:r w:rsidRPr="001D0A60">
        <w:rPr>
          <w:rFonts w:hint="eastAsia"/>
          <w:bCs/>
          <w:sz w:val="20"/>
          <w:szCs w:val="20"/>
        </w:rPr>
        <w:t>代理问题与财务管理目标实现</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1.4 </w:t>
      </w:r>
      <w:r w:rsidRPr="001D0A60">
        <w:rPr>
          <w:rFonts w:hint="eastAsia"/>
          <w:bCs/>
          <w:sz w:val="20"/>
          <w:szCs w:val="20"/>
        </w:rPr>
        <w:t>财务管理环境概论</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1.5 </w:t>
      </w:r>
      <w:r w:rsidRPr="001D0A60">
        <w:rPr>
          <w:rFonts w:hint="eastAsia"/>
          <w:bCs/>
          <w:sz w:val="20"/>
          <w:szCs w:val="20"/>
        </w:rPr>
        <w:t>金融工具与金融市场分类</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1.6 </w:t>
      </w:r>
      <w:r w:rsidRPr="001D0A60">
        <w:rPr>
          <w:rFonts w:hint="eastAsia"/>
          <w:bCs/>
          <w:sz w:val="20"/>
          <w:szCs w:val="20"/>
        </w:rPr>
        <w:t>金融市场与中介的功能</w:t>
      </w:r>
    </w:p>
    <w:p w:rsidR="004A64FA" w:rsidRPr="001D0A60" w:rsidRDefault="004A64FA" w:rsidP="004A64FA">
      <w:pPr>
        <w:snapToGrid w:val="0"/>
        <w:spacing w:line="288" w:lineRule="auto"/>
        <w:ind w:firstLineChars="200" w:firstLine="400"/>
        <w:rPr>
          <w:bCs/>
          <w:sz w:val="20"/>
          <w:szCs w:val="20"/>
        </w:rPr>
      </w:pPr>
      <w:r w:rsidRPr="001D0A60">
        <w:rPr>
          <w:bCs/>
          <w:sz w:val="20"/>
          <w:szCs w:val="20"/>
        </w:rPr>
        <w:t>02</w:t>
      </w:r>
    </w:p>
    <w:p w:rsidR="004A64FA" w:rsidRPr="001D0A60" w:rsidRDefault="004A64FA" w:rsidP="004A64FA">
      <w:pPr>
        <w:snapToGrid w:val="0"/>
        <w:spacing w:line="288" w:lineRule="auto"/>
        <w:ind w:firstLineChars="200" w:firstLine="400"/>
        <w:rPr>
          <w:bCs/>
          <w:sz w:val="20"/>
          <w:szCs w:val="20"/>
        </w:rPr>
      </w:pPr>
      <w:proofErr w:type="gramStart"/>
      <w:r w:rsidRPr="001D0A60">
        <w:rPr>
          <w:rFonts w:hint="eastAsia"/>
          <w:bCs/>
          <w:sz w:val="20"/>
          <w:szCs w:val="20"/>
        </w:rPr>
        <w:t>极往知</w:t>
      </w:r>
      <w:proofErr w:type="gramEnd"/>
      <w:r w:rsidRPr="001D0A60">
        <w:rPr>
          <w:rFonts w:hint="eastAsia"/>
          <w:bCs/>
          <w:sz w:val="20"/>
          <w:szCs w:val="20"/>
        </w:rPr>
        <w:t>来</w:t>
      </w:r>
      <w:r w:rsidRPr="001D0A60">
        <w:rPr>
          <w:rFonts w:hint="eastAsia"/>
          <w:bCs/>
          <w:sz w:val="20"/>
          <w:szCs w:val="20"/>
        </w:rPr>
        <w:t>-</w:t>
      </w:r>
      <w:r w:rsidRPr="001D0A60">
        <w:rPr>
          <w:rFonts w:hint="eastAsia"/>
          <w:bCs/>
          <w:sz w:val="20"/>
          <w:szCs w:val="20"/>
        </w:rPr>
        <w:t>财务分析与预测</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1</w:t>
      </w:r>
      <w:r w:rsidRPr="001D0A60">
        <w:rPr>
          <w:rFonts w:hint="eastAsia"/>
          <w:bCs/>
          <w:sz w:val="20"/>
          <w:szCs w:val="20"/>
        </w:rPr>
        <w:t>、掌握财务报表分析的技术</w:t>
      </w:r>
      <w:r w:rsidRPr="001D0A60">
        <w:rPr>
          <w:rFonts w:hint="eastAsia"/>
          <w:bCs/>
          <w:sz w:val="20"/>
          <w:szCs w:val="20"/>
        </w:rPr>
        <w:t>2</w:t>
      </w:r>
      <w:r w:rsidRPr="001D0A60">
        <w:rPr>
          <w:rFonts w:hint="eastAsia"/>
          <w:bCs/>
          <w:sz w:val="20"/>
          <w:szCs w:val="20"/>
        </w:rPr>
        <w:t>、理解增长率与公司融资需求量的关系</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课时</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2.1 </w:t>
      </w:r>
      <w:r w:rsidRPr="001D0A60">
        <w:rPr>
          <w:rFonts w:hint="eastAsia"/>
          <w:bCs/>
          <w:sz w:val="20"/>
          <w:szCs w:val="20"/>
        </w:rPr>
        <w:t>财务分析概述与短期偿债能力分析</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lastRenderedPageBreak/>
        <w:t xml:space="preserve">2.2 </w:t>
      </w:r>
      <w:r w:rsidRPr="001D0A60">
        <w:rPr>
          <w:rFonts w:hint="eastAsia"/>
          <w:bCs/>
          <w:sz w:val="20"/>
          <w:szCs w:val="20"/>
        </w:rPr>
        <w:t>长期偿债能力</w:t>
      </w:r>
      <w:proofErr w:type="gramStart"/>
      <w:r w:rsidRPr="001D0A60">
        <w:rPr>
          <w:rFonts w:hint="eastAsia"/>
          <w:bCs/>
          <w:sz w:val="20"/>
          <w:szCs w:val="20"/>
        </w:rPr>
        <w:t>力</w:t>
      </w:r>
      <w:proofErr w:type="gramEnd"/>
      <w:r w:rsidRPr="001D0A60">
        <w:rPr>
          <w:rFonts w:hint="eastAsia"/>
          <w:bCs/>
          <w:sz w:val="20"/>
          <w:szCs w:val="20"/>
        </w:rPr>
        <w:t>分析</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2.3 </w:t>
      </w:r>
      <w:r w:rsidRPr="001D0A60">
        <w:rPr>
          <w:rFonts w:hint="eastAsia"/>
          <w:bCs/>
          <w:sz w:val="20"/>
          <w:szCs w:val="20"/>
        </w:rPr>
        <w:t>营运能力分析</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2.4 </w:t>
      </w:r>
      <w:r w:rsidRPr="001D0A60">
        <w:rPr>
          <w:rFonts w:hint="eastAsia"/>
          <w:bCs/>
          <w:sz w:val="20"/>
          <w:szCs w:val="20"/>
        </w:rPr>
        <w:t>盈利能力分析与杜邦分析</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2.5 </w:t>
      </w:r>
      <w:r w:rsidRPr="001D0A60">
        <w:rPr>
          <w:rFonts w:hint="eastAsia"/>
          <w:bCs/>
          <w:sz w:val="20"/>
          <w:szCs w:val="20"/>
        </w:rPr>
        <w:t>财务预测</w:t>
      </w:r>
    </w:p>
    <w:p w:rsidR="004A64FA" w:rsidRPr="001D0A60" w:rsidRDefault="004A64FA" w:rsidP="004A64FA">
      <w:pPr>
        <w:snapToGrid w:val="0"/>
        <w:spacing w:line="288" w:lineRule="auto"/>
        <w:ind w:firstLineChars="200" w:firstLine="400"/>
        <w:rPr>
          <w:bCs/>
          <w:sz w:val="20"/>
          <w:szCs w:val="20"/>
        </w:rPr>
      </w:pPr>
      <w:r w:rsidRPr="001D0A60">
        <w:rPr>
          <w:bCs/>
          <w:sz w:val="20"/>
          <w:szCs w:val="20"/>
        </w:rPr>
        <w:t>03</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基石</w:t>
      </w:r>
      <w:r w:rsidRPr="001D0A60">
        <w:rPr>
          <w:rFonts w:hint="eastAsia"/>
          <w:bCs/>
          <w:sz w:val="20"/>
          <w:szCs w:val="20"/>
        </w:rPr>
        <w:t>-</w:t>
      </w:r>
      <w:r w:rsidRPr="001D0A60">
        <w:rPr>
          <w:rFonts w:hint="eastAsia"/>
          <w:bCs/>
          <w:sz w:val="20"/>
          <w:szCs w:val="20"/>
        </w:rPr>
        <w:t>财务管理的价值理念</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掌握财务管理的两大价值理念：货币时间价值、风险与报酬。</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课时</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3.1 </w:t>
      </w:r>
      <w:r w:rsidRPr="001D0A60">
        <w:rPr>
          <w:rFonts w:hint="eastAsia"/>
          <w:bCs/>
          <w:sz w:val="20"/>
          <w:szCs w:val="20"/>
        </w:rPr>
        <w:t>复利现值与终值</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3.2 </w:t>
      </w:r>
      <w:r w:rsidRPr="001D0A60">
        <w:rPr>
          <w:rFonts w:hint="eastAsia"/>
          <w:bCs/>
          <w:sz w:val="20"/>
          <w:szCs w:val="20"/>
        </w:rPr>
        <w:t>年金现值与终值</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3.3 </w:t>
      </w:r>
      <w:r w:rsidRPr="001D0A60">
        <w:rPr>
          <w:rFonts w:hint="eastAsia"/>
          <w:bCs/>
          <w:sz w:val="20"/>
          <w:szCs w:val="20"/>
        </w:rPr>
        <w:t>风险度量、</w:t>
      </w:r>
      <w:r w:rsidRPr="001D0A60">
        <w:rPr>
          <w:rFonts w:hint="eastAsia"/>
          <w:bCs/>
          <w:sz w:val="20"/>
          <w:szCs w:val="20"/>
        </w:rPr>
        <w:t xml:space="preserve"> </w:t>
      </w:r>
      <w:r w:rsidRPr="001D0A60">
        <w:rPr>
          <w:rFonts w:hint="eastAsia"/>
          <w:bCs/>
          <w:sz w:val="20"/>
          <w:szCs w:val="20"/>
        </w:rPr>
        <w:t>经营风险（杠杆）与财务风险（杠杆）</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3.4 </w:t>
      </w:r>
      <w:r w:rsidRPr="001D0A60">
        <w:rPr>
          <w:rFonts w:hint="eastAsia"/>
          <w:bCs/>
          <w:sz w:val="20"/>
          <w:szCs w:val="20"/>
        </w:rPr>
        <w:t>资本资产定价模型</w:t>
      </w:r>
    </w:p>
    <w:p w:rsidR="004A64FA" w:rsidRPr="001D0A60" w:rsidRDefault="004A64FA" w:rsidP="004A64FA">
      <w:pPr>
        <w:snapToGrid w:val="0"/>
        <w:spacing w:line="288" w:lineRule="auto"/>
        <w:ind w:firstLineChars="200" w:firstLine="400"/>
        <w:rPr>
          <w:bCs/>
          <w:sz w:val="20"/>
          <w:szCs w:val="20"/>
        </w:rPr>
      </w:pPr>
      <w:r w:rsidRPr="001D0A60">
        <w:rPr>
          <w:bCs/>
          <w:sz w:val="20"/>
          <w:szCs w:val="20"/>
        </w:rPr>
        <w:t>04</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借鸡生蛋</w:t>
      </w:r>
      <w:r w:rsidRPr="001D0A60">
        <w:rPr>
          <w:rFonts w:hint="eastAsia"/>
          <w:bCs/>
          <w:sz w:val="20"/>
          <w:szCs w:val="20"/>
        </w:rPr>
        <w:t>-</w:t>
      </w:r>
      <w:r w:rsidRPr="001D0A60">
        <w:rPr>
          <w:rFonts w:hint="eastAsia"/>
          <w:bCs/>
          <w:sz w:val="20"/>
          <w:szCs w:val="20"/>
        </w:rPr>
        <w:t>长期筹资管理</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1</w:t>
      </w:r>
      <w:r w:rsidRPr="001D0A60">
        <w:rPr>
          <w:rFonts w:hint="eastAsia"/>
          <w:bCs/>
          <w:sz w:val="20"/>
          <w:szCs w:val="20"/>
        </w:rPr>
        <w:t>、掌握各种筹资方式的特点。</w:t>
      </w:r>
      <w:r w:rsidRPr="001D0A60">
        <w:rPr>
          <w:rFonts w:hint="eastAsia"/>
          <w:bCs/>
          <w:sz w:val="20"/>
          <w:szCs w:val="20"/>
        </w:rPr>
        <w:t>2</w:t>
      </w:r>
      <w:r w:rsidRPr="001D0A60">
        <w:rPr>
          <w:rFonts w:hint="eastAsia"/>
          <w:bCs/>
          <w:sz w:val="20"/>
          <w:szCs w:val="20"/>
        </w:rPr>
        <w:t>、理解个别资本成本和加权平均资本成本。</w:t>
      </w:r>
      <w:r w:rsidRPr="001D0A60">
        <w:rPr>
          <w:rFonts w:hint="eastAsia"/>
          <w:bCs/>
          <w:sz w:val="20"/>
          <w:szCs w:val="20"/>
        </w:rPr>
        <w:t>3</w:t>
      </w:r>
      <w:r w:rsidRPr="001D0A60">
        <w:rPr>
          <w:rFonts w:hint="eastAsia"/>
          <w:bCs/>
          <w:sz w:val="20"/>
          <w:szCs w:val="20"/>
        </w:rPr>
        <w:t>、理解各类资本结构理论并能进行资本结构选择决策。</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课时</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4.1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普通股发行概述</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4.2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股票增发</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4.3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配股</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4.4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贷款</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4.5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债券发行</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4.6 </w:t>
      </w:r>
      <w:r w:rsidRPr="001D0A60">
        <w:rPr>
          <w:rFonts w:hint="eastAsia"/>
          <w:bCs/>
          <w:sz w:val="20"/>
          <w:szCs w:val="20"/>
        </w:rPr>
        <w:t>筹资方式</w:t>
      </w:r>
      <w:r w:rsidRPr="001D0A60">
        <w:rPr>
          <w:rFonts w:hint="eastAsia"/>
          <w:bCs/>
          <w:sz w:val="20"/>
          <w:szCs w:val="20"/>
        </w:rPr>
        <w:t>-</w:t>
      </w:r>
      <w:r w:rsidRPr="001D0A60">
        <w:rPr>
          <w:rFonts w:hint="eastAsia"/>
          <w:bCs/>
          <w:sz w:val="20"/>
          <w:szCs w:val="20"/>
        </w:rPr>
        <w:t>混合筹资</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4.7 </w:t>
      </w:r>
      <w:r w:rsidRPr="001D0A60">
        <w:rPr>
          <w:rFonts w:hint="eastAsia"/>
          <w:bCs/>
          <w:sz w:val="20"/>
          <w:szCs w:val="20"/>
        </w:rPr>
        <w:t>资本成本概述</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4.8 </w:t>
      </w:r>
      <w:r w:rsidRPr="001D0A60">
        <w:rPr>
          <w:rFonts w:hint="eastAsia"/>
          <w:bCs/>
          <w:sz w:val="20"/>
          <w:szCs w:val="20"/>
        </w:rPr>
        <w:t>债券估值与债务资本成本</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4.9 </w:t>
      </w:r>
      <w:r w:rsidRPr="001D0A60">
        <w:rPr>
          <w:rFonts w:hint="eastAsia"/>
          <w:bCs/>
          <w:sz w:val="20"/>
          <w:szCs w:val="20"/>
        </w:rPr>
        <w:t>股票估值与股权资本成本</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4.10</w:t>
      </w:r>
      <w:r w:rsidRPr="001D0A60">
        <w:rPr>
          <w:rFonts w:hint="eastAsia"/>
          <w:bCs/>
          <w:sz w:val="20"/>
          <w:szCs w:val="20"/>
        </w:rPr>
        <w:t>加权平均资本成本</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4.11 </w:t>
      </w:r>
      <w:r w:rsidRPr="001D0A60">
        <w:rPr>
          <w:rFonts w:hint="eastAsia"/>
          <w:bCs/>
          <w:sz w:val="20"/>
          <w:szCs w:val="20"/>
        </w:rPr>
        <w:t>资本结构理论</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4.12 </w:t>
      </w:r>
      <w:r w:rsidRPr="001D0A60">
        <w:rPr>
          <w:rFonts w:hint="eastAsia"/>
          <w:bCs/>
          <w:sz w:val="20"/>
          <w:szCs w:val="20"/>
        </w:rPr>
        <w:t>资本结构决策</w:t>
      </w:r>
    </w:p>
    <w:p w:rsidR="004A64FA" w:rsidRPr="001D0A60" w:rsidRDefault="004A64FA" w:rsidP="004A64FA">
      <w:pPr>
        <w:snapToGrid w:val="0"/>
        <w:spacing w:line="288" w:lineRule="auto"/>
        <w:ind w:firstLineChars="200" w:firstLine="400"/>
        <w:rPr>
          <w:bCs/>
          <w:sz w:val="20"/>
          <w:szCs w:val="20"/>
        </w:rPr>
      </w:pPr>
      <w:r w:rsidRPr="001D0A60">
        <w:rPr>
          <w:bCs/>
          <w:sz w:val="20"/>
          <w:szCs w:val="20"/>
        </w:rPr>
        <w:t>05</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披沙</w:t>
      </w:r>
      <w:proofErr w:type="gramStart"/>
      <w:r w:rsidRPr="001D0A60">
        <w:rPr>
          <w:rFonts w:hint="eastAsia"/>
          <w:bCs/>
          <w:sz w:val="20"/>
          <w:szCs w:val="20"/>
        </w:rPr>
        <w:t>沥</w:t>
      </w:r>
      <w:proofErr w:type="gramEnd"/>
      <w:r w:rsidRPr="001D0A60">
        <w:rPr>
          <w:rFonts w:hint="eastAsia"/>
          <w:bCs/>
          <w:sz w:val="20"/>
          <w:szCs w:val="20"/>
        </w:rPr>
        <w:t>金</w:t>
      </w:r>
      <w:r w:rsidRPr="001D0A60">
        <w:rPr>
          <w:rFonts w:hint="eastAsia"/>
          <w:bCs/>
          <w:sz w:val="20"/>
          <w:szCs w:val="20"/>
        </w:rPr>
        <w:t>-</w:t>
      </w:r>
      <w:r w:rsidRPr="001D0A60">
        <w:rPr>
          <w:rFonts w:hint="eastAsia"/>
          <w:bCs/>
          <w:sz w:val="20"/>
          <w:szCs w:val="20"/>
        </w:rPr>
        <w:t>长期投资管理</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1</w:t>
      </w:r>
      <w:r w:rsidRPr="001D0A60">
        <w:rPr>
          <w:rFonts w:hint="eastAsia"/>
          <w:bCs/>
          <w:sz w:val="20"/>
          <w:szCs w:val="20"/>
        </w:rPr>
        <w:t>、掌握各</w:t>
      </w:r>
      <w:proofErr w:type="gramStart"/>
      <w:r w:rsidRPr="001D0A60">
        <w:rPr>
          <w:rFonts w:hint="eastAsia"/>
          <w:bCs/>
          <w:sz w:val="20"/>
          <w:szCs w:val="20"/>
        </w:rPr>
        <w:t>类长期</w:t>
      </w:r>
      <w:proofErr w:type="gramEnd"/>
      <w:r w:rsidRPr="001D0A60">
        <w:rPr>
          <w:rFonts w:hint="eastAsia"/>
          <w:bCs/>
          <w:sz w:val="20"/>
          <w:szCs w:val="20"/>
        </w:rPr>
        <w:t>资产投资项目评价方法。</w:t>
      </w:r>
      <w:r w:rsidRPr="001D0A60">
        <w:rPr>
          <w:rFonts w:hint="eastAsia"/>
          <w:bCs/>
          <w:sz w:val="20"/>
          <w:szCs w:val="20"/>
        </w:rPr>
        <w:t>2</w:t>
      </w:r>
      <w:r w:rsidRPr="001D0A60">
        <w:rPr>
          <w:rFonts w:hint="eastAsia"/>
          <w:bCs/>
          <w:sz w:val="20"/>
          <w:szCs w:val="20"/>
        </w:rPr>
        <w:t>、理解增量现金流量的含义，掌握其预测方法。</w:t>
      </w:r>
      <w:r w:rsidRPr="001D0A60">
        <w:rPr>
          <w:rFonts w:hint="eastAsia"/>
          <w:bCs/>
          <w:sz w:val="20"/>
          <w:szCs w:val="20"/>
        </w:rPr>
        <w:t>2</w:t>
      </w:r>
      <w:r w:rsidRPr="001D0A60">
        <w:rPr>
          <w:rFonts w:hint="eastAsia"/>
          <w:bCs/>
          <w:sz w:val="20"/>
          <w:szCs w:val="20"/>
        </w:rPr>
        <w:t>、理解长期资产投资项目的风险分析方法。</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课时</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5.1 </w:t>
      </w:r>
      <w:r w:rsidRPr="001D0A60">
        <w:rPr>
          <w:rFonts w:hint="eastAsia"/>
          <w:bCs/>
          <w:sz w:val="20"/>
          <w:szCs w:val="20"/>
        </w:rPr>
        <w:t>长期资产投资管理概述</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5.2 </w:t>
      </w:r>
      <w:r w:rsidRPr="001D0A60">
        <w:rPr>
          <w:rFonts w:hint="eastAsia"/>
          <w:bCs/>
          <w:sz w:val="20"/>
          <w:szCs w:val="20"/>
        </w:rPr>
        <w:t>投资项目评价方法</w:t>
      </w:r>
      <w:r w:rsidRPr="001D0A60">
        <w:rPr>
          <w:rFonts w:hint="eastAsia"/>
          <w:bCs/>
          <w:sz w:val="20"/>
          <w:szCs w:val="20"/>
        </w:rPr>
        <w:t>-</w:t>
      </w:r>
      <w:r w:rsidRPr="001D0A60">
        <w:rPr>
          <w:rFonts w:hint="eastAsia"/>
          <w:bCs/>
          <w:sz w:val="20"/>
          <w:szCs w:val="20"/>
        </w:rPr>
        <w:t>会计收益率与回收期</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5.3 </w:t>
      </w:r>
      <w:r w:rsidRPr="001D0A60">
        <w:rPr>
          <w:rFonts w:hint="eastAsia"/>
          <w:bCs/>
          <w:sz w:val="20"/>
          <w:szCs w:val="20"/>
        </w:rPr>
        <w:t>投资项目评价方法</w:t>
      </w:r>
      <w:r w:rsidRPr="001D0A60">
        <w:rPr>
          <w:rFonts w:hint="eastAsia"/>
          <w:bCs/>
          <w:sz w:val="20"/>
          <w:szCs w:val="20"/>
        </w:rPr>
        <w:t>-</w:t>
      </w:r>
      <w:r w:rsidRPr="001D0A60">
        <w:rPr>
          <w:rFonts w:hint="eastAsia"/>
          <w:bCs/>
          <w:sz w:val="20"/>
          <w:szCs w:val="20"/>
        </w:rPr>
        <w:t>净现值与内含报酬率</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5.4 </w:t>
      </w:r>
      <w:r w:rsidRPr="001D0A60">
        <w:rPr>
          <w:rFonts w:hint="eastAsia"/>
          <w:bCs/>
          <w:sz w:val="20"/>
          <w:szCs w:val="20"/>
        </w:rPr>
        <w:t>投资项目评价方法</w:t>
      </w:r>
      <w:r w:rsidRPr="001D0A60">
        <w:rPr>
          <w:rFonts w:hint="eastAsia"/>
          <w:bCs/>
          <w:sz w:val="20"/>
          <w:szCs w:val="20"/>
        </w:rPr>
        <w:t>-</w:t>
      </w:r>
      <w:r w:rsidRPr="001D0A60">
        <w:rPr>
          <w:rFonts w:hint="eastAsia"/>
          <w:bCs/>
          <w:sz w:val="20"/>
          <w:szCs w:val="20"/>
        </w:rPr>
        <w:t>现值指数与等额年金</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5.5 </w:t>
      </w:r>
      <w:r w:rsidRPr="001D0A60">
        <w:rPr>
          <w:rFonts w:hint="eastAsia"/>
          <w:bCs/>
          <w:sz w:val="20"/>
          <w:szCs w:val="20"/>
        </w:rPr>
        <w:t>增量现金流量</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5.6 </w:t>
      </w:r>
      <w:r w:rsidRPr="001D0A60">
        <w:rPr>
          <w:rFonts w:hint="eastAsia"/>
          <w:bCs/>
          <w:sz w:val="20"/>
          <w:szCs w:val="20"/>
        </w:rPr>
        <w:t>经营现金流量预测</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5.7 </w:t>
      </w:r>
      <w:r w:rsidRPr="001D0A60">
        <w:rPr>
          <w:rFonts w:hint="eastAsia"/>
          <w:bCs/>
          <w:sz w:val="20"/>
          <w:szCs w:val="20"/>
        </w:rPr>
        <w:t>投资项目风险分析</w:t>
      </w:r>
    </w:p>
    <w:p w:rsidR="004A64FA" w:rsidRPr="001D0A60" w:rsidRDefault="004A64FA" w:rsidP="004A64FA">
      <w:pPr>
        <w:snapToGrid w:val="0"/>
        <w:spacing w:line="288" w:lineRule="auto"/>
        <w:ind w:firstLineChars="200" w:firstLine="400"/>
        <w:rPr>
          <w:bCs/>
          <w:sz w:val="20"/>
          <w:szCs w:val="20"/>
        </w:rPr>
      </w:pPr>
      <w:r w:rsidRPr="001D0A60">
        <w:rPr>
          <w:bCs/>
          <w:sz w:val="20"/>
          <w:szCs w:val="20"/>
        </w:rPr>
        <w:t>06</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权衡之术</w:t>
      </w:r>
      <w:r w:rsidRPr="001D0A60">
        <w:rPr>
          <w:rFonts w:hint="eastAsia"/>
          <w:bCs/>
          <w:sz w:val="20"/>
          <w:szCs w:val="20"/>
        </w:rPr>
        <w:t>-</w:t>
      </w:r>
      <w:r w:rsidRPr="001D0A60">
        <w:rPr>
          <w:rFonts w:hint="eastAsia"/>
          <w:bCs/>
          <w:sz w:val="20"/>
          <w:szCs w:val="20"/>
        </w:rPr>
        <w:t>营运资本管理</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1</w:t>
      </w:r>
      <w:r w:rsidRPr="001D0A60">
        <w:rPr>
          <w:rFonts w:hint="eastAsia"/>
          <w:bCs/>
          <w:sz w:val="20"/>
          <w:szCs w:val="20"/>
        </w:rPr>
        <w:t>、理解营运资本的概念、营运资本的投融资策略。</w:t>
      </w:r>
      <w:r w:rsidRPr="001D0A60">
        <w:rPr>
          <w:rFonts w:hint="eastAsia"/>
          <w:bCs/>
          <w:sz w:val="20"/>
          <w:szCs w:val="20"/>
        </w:rPr>
        <w:t>2</w:t>
      </w:r>
      <w:r w:rsidRPr="001D0A60">
        <w:rPr>
          <w:rFonts w:hint="eastAsia"/>
          <w:bCs/>
          <w:sz w:val="20"/>
          <w:szCs w:val="20"/>
        </w:rPr>
        <w:t>、掌握现金、应收款项、存货的管理。</w:t>
      </w:r>
      <w:r w:rsidRPr="001D0A60">
        <w:rPr>
          <w:rFonts w:hint="eastAsia"/>
          <w:bCs/>
          <w:sz w:val="20"/>
          <w:szCs w:val="20"/>
        </w:rPr>
        <w:t>3</w:t>
      </w:r>
      <w:r w:rsidRPr="001D0A60">
        <w:rPr>
          <w:rFonts w:hint="eastAsia"/>
          <w:bCs/>
          <w:sz w:val="20"/>
          <w:szCs w:val="20"/>
        </w:rPr>
        <w:t>、掌握商业信用筹资、短期借款筹资的特点及筹资成本率的计算。</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lastRenderedPageBreak/>
        <w:t>课时</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6.1 </w:t>
      </w:r>
      <w:r w:rsidRPr="001D0A60">
        <w:rPr>
          <w:rFonts w:hint="eastAsia"/>
          <w:bCs/>
          <w:sz w:val="20"/>
          <w:szCs w:val="20"/>
        </w:rPr>
        <w:t>营运资本投资策略</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6.2 </w:t>
      </w:r>
      <w:r w:rsidRPr="001D0A60">
        <w:rPr>
          <w:rFonts w:hint="eastAsia"/>
          <w:bCs/>
          <w:sz w:val="20"/>
          <w:szCs w:val="20"/>
        </w:rPr>
        <w:t>营运资本筹资策略</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6.3 </w:t>
      </w:r>
      <w:r w:rsidRPr="001D0A60">
        <w:rPr>
          <w:rFonts w:hint="eastAsia"/>
          <w:bCs/>
          <w:sz w:val="20"/>
          <w:szCs w:val="20"/>
        </w:rPr>
        <w:t>流动资产管理</w:t>
      </w:r>
      <w:r w:rsidRPr="001D0A60">
        <w:rPr>
          <w:rFonts w:hint="eastAsia"/>
          <w:bCs/>
          <w:sz w:val="20"/>
          <w:szCs w:val="20"/>
        </w:rPr>
        <w:t>-</w:t>
      </w:r>
      <w:r w:rsidRPr="001D0A60">
        <w:rPr>
          <w:rFonts w:hint="eastAsia"/>
          <w:bCs/>
          <w:sz w:val="20"/>
          <w:szCs w:val="20"/>
        </w:rPr>
        <w:t>现金</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6.4 </w:t>
      </w:r>
      <w:r w:rsidRPr="001D0A60">
        <w:rPr>
          <w:rFonts w:hint="eastAsia"/>
          <w:bCs/>
          <w:sz w:val="20"/>
          <w:szCs w:val="20"/>
        </w:rPr>
        <w:t>流动资产管理</w:t>
      </w:r>
      <w:r w:rsidRPr="001D0A60">
        <w:rPr>
          <w:rFonts w:hint="eastAsia"/>
          <w:bCs/>
          <w:sz w:val="20"/>
          <w:szCs w:val="20"/>
        </w:rPr>
        <w:t>-</w:t>
      </w:r>
      <w:r w:rsidRPr="001D0A60">
        <w:rPr>
          <w:rFonts w:hint="eastAsia"/>
          <w:bCs/>
          <w:sz w:val="20"/>
          <w:szCs w:val="20"/>
        </w:rPr>
        <w:t>应收款项</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6.5 </w:t>
      </w:r>
      <w:r w:rsidRPr="001D0A60">
        <w:rPr>
          <w:rFonts w:hint="eastAsia"/>
          <w:bCs/>
          <w:sz w:val="20"/>
          <w:szCs w:val="20"/>
        </w:rPr>
        <w:t>流动资产管理</w:t>
      </w:r>
      <w:r w:rsidRPr="001D0A60">
        <w:rPr>
          <w:rFonts w:hint="eastAsia"/>
          <w:bCs/>
          <w:sz w:val="20"/>
          <w:szCs w:val="20"/>
        </w:rPr>
        <w:t>-</w:t>
      </w:r>
      <w:r w:rsidRPr="001D0A60">
        <w:rPr>
          <w:rFonts w:hint="eastAsia"/>
          <w:bCs/>
          <w:sz w:val="20"/>
          <w:szCs w:val="20"/>
        </w:rPr>
        <w:t>存货</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6.6 </w:t>
      </w:r>
      <w:r w:rsidRPr="001D0A60">
        <w:rPr>
          <w:rFonts w:hint="eastAsia"/>
          <w:bCs/>
          <w:sz w:val="20"/>
          <w:szCs w:val="20"/>
        </w:rPr>
        <w:t>流动负债管理</w:t>
      </w:r>
      <w:r w:rsidRPr="001D0A60">
        <w:rPr>
          <w:rFonts w:hint="eastAsia"/>
          <w:bCs/>
          <w:sz w:val="20"/>
          <w:szCs w:val="20"/>
        </w:rPr>
        <w:t>-</w:t>
      </w:r>
      <w:r w:rsidRPr="001D0A60">
        <w:rPr>
          <w:rFonts w:hint="eastAsia"/>
          <w:bCs/>
          <w:sz w:val="20"/>
          <w:szCs w:val="20"/>
        </w:rPr>
        <w:t>商业信用筹资</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6.7 </w:t>
      </w:r>
      <w:r w:rsidRPr="001D0A60">
        <w:rPr>
          <w:rFonts w:hint="eastAsia"/>
          <w:bCs/>
          <w:sz w:val="20"/>
          <w:szCs w:val="20"/>
        </w:rPr>
        <w:t>流动负债管理</w:t>
      </w:r>
      <w:r w:rsidRPr="001D0A60">
        <w:rPr>
          <w:rFonts w:hint="eastAsia"/>
          <w:bCs/>
          <w:sz w:val="20"/>
          <w:szCs w:val="20"/>
        </w:rPr>
        <w:t>-</w:t>
      </w:r>
      <w:r w:rsidRPr="001D0A60">
        <w:rPr>
          <w:rFonts w:hint="eastAsia"/>
          <w:bCs/>
          <w:sz w:val="20"/>
          <w:szCs w:val="20"/>
        </w:rPr>
        <w:t>短期借款筹资</w:t>
      </w:r>
    </w:p>
    <w:p w:rsidR="004A64FA" w:rsidRPr="001D0A60" w:rsidRDefault="004A64FA" w:rsidP="004A64FA">
      <w:pPr>
        <w:snapToGrid w:val="0"/>
        <w:spacing w:line="288" w:lineRule="auto"/>
        <w:ind w:firstLineChars="200" w:firstLine="400"/>
        <w:rPr>
          <w:bCs/>
          <w:sz w:val="20"/>
          <w:szCs w:val="20"/>
        </w:rPr>
      </w:pPr>
      <w:r w:rsidRPr="001D0A60">
        <w:rPr>
          <w:bCs/>
          <w:sz w:val="20"/>
          <w:szCs w:val="20"/>
        </w:rPr>
        <w:t>07</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谜之股利</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1</w:t>
      </w:r>
      <w:r w:rsidRPr="001D0A60">
        <w:rPr>
          <w:rFonts w:hint="eastAsia"/>
          <w:bCs/>
          <w:sz w:val="20"/>
          <w:szCs w:val="20"/>
        </w:rPr>
        <w:t>、了解股利支付方式与程序，股票回购与现金股利、股票分割与股票股利的区别与联系。</w:t>
      </w:r>
      <w:r w:rsidRPr="001D0A60">
        <w:rPr>
          <w:rFonts w:hint="eastAsia"/>
          <w:bCs/>
          <w:sz w:val="20"/>
          <w:szCs w:val="20"/>
        </w:rPr>
        <w:t>2</w:t>
      </w:r>
      <w:r w:rsidRPr="001D0A60">
        <w:rPr>
          <w:rFonts w:hint="eastAsia"/>
          <w:bCs/>
          <w:sz w:val="20"/>
          <w:szCs w:val="20"/>
        </w:rPr>
        <w:t>、理解各类股利理论，明确影响公司股利分配的重要因素。</w:t>
      </w:r>
      <w:r w:rsidRPr="001D0A60">
        <w:rPr>
          <w:rFonts w:hint="eastAsia"/>
          <w:bCs/>
          <w:sz w:val="20"/>
          <w:szCs w:val="20"/>
        </w:rPr>
        <w:t>3</w:t>
      </w:r>
      <w:r w:rsidRPr="001D0A60">
        <w:rPr>
          <w:rFonts w:hint="eastAsia"/>
          <w:bCs/>
          <w:sz w:val="20"/>
          <w:szCs w:val="20"/>
        </w:rPr>
        <w:t>、掌握常见的股利政策。</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课时</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7.1 </w:t>
      </w:r>
      <w:r w:rsidRPr="001D0A60">
        <w:rPr>
          <w:rFonts w:hint="eastAsia"/>
          <w:bCs/>
          <w:sz w:val="20"/>
          <w:szCs w:val="20"/>
        </w:rPr>
        <w:t>股利支付方式与程序</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7.2 </w:t>
      </w:r>
      <w:r w:rsidRPr="001D0A60">
        <w:rPr>
          <w:rFonts w:hint="eastAsia"/>
          <w:bCs/>
          <w:sz w:val="20"/>
          <w:szCs w:val="20"/>
        </w:rPr>
        <w:t>股利理论</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7.3 </w:t>
      </w:r>
      <w:r w:rsidRPr="001D0A60">
        <w:rPr>
          <w:rFonts w:hint="eastAsia"/>
          <w:bCs/>
          <w:sz w:val="20"/>
          <w:szCs w:val="20"/>
        </w:rPr>
        <w:t>股利影响因素与股利政策</w:t>
      </w:r>
    </w:p>
    <w:p w:rsidR="004A64FA" w:rsidRPr="001D0A60" w:rsidRDefault="004A64FA" w:rsidP="004A64FA">
      <w:pPr>
        <w:snapToGrid w:val="0"/>
        <w:spacing w:line="288" w:lineRule="auto"/>
        <w:ind w:firstLineChars="200" w:firstLine="400"/>
        <w:rPr>
          <w:bCs/>
          <w:sz w:val="20"/>
          <w:szCs w:val="20"/>
        </w:rPr>
      </w:pPr>
      <w:r w:rsidRPr="001D0A60">
        <w:rPr>
          <w:rFonts w:hint="eastAsia"/>
          <w:bCs/>
          <w:sz w:val="20"/>
          <w:szCs w:val="20"/>
        </w:rPr>
        <w:t xml:space="preserve">7.4 </w:t>
      </w:r>
      <w:r w:rsidRPr="001D0A60">
        <w:rPr>
          <w:rFonts w:hint="eastAsia"/>
          <w:bCs/>
          <w:sz w:val="20"/>
          <w:szCs w:val="20"/>
        </w:rPr>
        <w:t>股票回购与股票分割</w:t>
      </w:r>
    </w:p>
    <w:p w:rsidR="007031F2" w:rsidRPr="001D0A60" w:rsidRDefault="007031F2">
      <w:pPr>
        <w:snapToGrid w:val="0"/>
        <w:spacing w:line="288" w:lineRule="auto"/>
        <w:ind w:right="26"/>
        <w:rPr>
          <w:sz w:val="20"/>
          <w:szCs w:val="20"/>
        </w:rPr>
      </w:pPr>
    </w:p>
    <w:p w:rsidR="007031F2" w:rsidRPr="001D0A60" w:rsidRDefault="004A64FA">
      <w:pPr>
        <w:widowControl/>
        <w:spacing w:beforeLines="50" w:before="156" w:afterLines="50" w:after="156" w:line="288" w:lineRule="auto"/>
        <w:ind w:firstLineChars="150" w:firstLine="360"/>
        <w:jc w:val="left"/>
        <w:rPr>
          <w:rFonts w:ascii="黑体" w:eastAsia="黑体" w:hAnsi="宋体"/>
          <w:sz w:val="24"/>
        </w:rPr>
      </w:pPr>
      <w:r w:rsidRPr="001D0A60">
        <w:rPr>
          <w:rFonts w:ascii="黑体" w:eastAsia="黑体" w:hAnsi="宋体" w:hint="eastAsia"/>
          <w:sz w:val="24"/>
        </w:rPr>
        <w:t>七、课内实验名称及基本要求（选填，适用于课内实验）</w:t>
      </w:r>
    </w:p>
    <w:p w:rsidR="007031F2" w:rsidRPr="001D0A60" w:rsidRDefault="004A64FA">
      <w:pPr>
        <w:snapToGrid w:val="0"/>
        <w:spacing w:line="288" w:lineRule="auto"/>
        <w:ind w:right="26" w:firstLineChars="200" w:firstLine="400"/>
        <w:rPr>
          <w:sz w:val="20"/>
          <w:szCs w:val="20"/>
        </w:rPr>
      </w:pPr>
      <w:r w:rsidRPr="001D0A60">
        <w:rPr>
          <w:rFonts w:hint="eastAsia"/>
          <w:sz w:val="20"/>
          <w:szCs w:val="20"/>
        </w:rPr>
        <w:t>列出课程实验的名称、学时数、实验类型（演示型、验证型、设计型、综合型）及每个实验的内容简述。</w:t>
      </w:r>
    </w:p>
    <w:p w:rsidR="004A64FA" w:rsidRPr="001D0A60" w:rsidRDefault="004A64FA">
      <w:pPr>
        <w:snapToGrid w:val="0"/>
        <w:spacing w:line="288" w:lineRule="auto"/>
        <w:ind w:right="2520"/>
        <w:rPr>
          <w:rFonts w:ascii="黑体" w:eastAsia="黑体" w:hAnsi="宋体"/>
          <w:sz w:val="24"/>
        </w:rPr>
      </w:pPr>
    </w:p>
    <w:tbl>
      <w:tblPr>
        <w:tblStyle w:val="a7"/>
        <w:tblW w:w="5000" w:type="pct"/>
        <w:tblLayout w:type="fixed"/>
        <w:tblLook w:val="04A0" w:firstRow="1" w:lastRow="0" w:firstColumn="1" w:lastColumn="0" w:noHBand="0" w:noVBand="1"/>
      </w:tblPr>
      <w:tblGrid>
        <w:gridCol w:w="676"/>
        <w:gridCol w:w="1416"/>
        <w:gridCol w:w="2170"/>
        <w:gridCol w:w="1420"/>
        <w:gridCol w:w="1420"/>
        <w:gridCol w:w="1420"/>
      </w:tblGrid>
      <w:tr w:rsidR="004A64FA" w:rsidRPr="001D0A60" w:rsidTr="004A64FA">
        <w:tc>
          <w:tcPr>
            <w:tcW w:w="397" w:type="pct"/>
          </w:tcPr>
          <w:p w:rsidR="004A64FA" w:rsidRPr="001D0A60" w:rsidRDefault="004A64FA" w:rsidP="004A64FA">
            <w:pPr>
              <w:snapToGrid w:val="0"/>
              <w:jc w:val="center"/>
              <w:rPr>
                <w:rFonts w:ascii="宋体"/>
                <w:sz w:val="20"/>
                <w:szCs w:val="20"/>
              </w:rPr>
            </w:pPr>
            <w:r w:rsidRPr="001D0A60">
              <w:rPr>
                <w:rFonts w:ascii="宋体" w:hAnsi="宋体" w:hint="eastAsia"/>
                <w:sz w:val="20"/>
                <w:szCs w:val="20"/>
              </w:rPr>
              <w:t>序号</w:t>
            </w:r>
          </w:p>
        </w:tc>
        <w:tc>
          <w:tcPr>
            <w:tcW w:w="831" w:type="pct"/>
          </w:tcPr>
          <w:p w:rsidR="004A64FA" w:rsidRPr="001D0A60" w:rsidRDefault="004A64FA" w:rsidP="004A64FA">
            <w:pPr>
              <w:snapToGrid w:val="0"/>
              <w:jc w:val="center"/>
              <w:rPr>
                <w:rFonts w:ascii="宋体"/>
                <w:sz w:val="20"/>
                <w:szCs w:val="20"/>
              </w:rPr>
            </w:pPr>
            <w:r w:rsidRPr="001D0A60">
              <w:rPr>
                <w:rFonts w:ascii="宋体" w:hAnsi="宋体" w:hint="eastAsia"/>
                <w:sz w:val="20"/>
                <w:szCs w:val="20"/>
              </w:rPr>
              <w:t>实验名称</w:t>
            </w:r>
          </w:p>
        </w:tc>
        <w:tc>
          <w:tcPr>
            <w:tcW w:w="1273" w:type="pct"/>
          </w:tcPr>
          <w:p w:rsidR="004A64FA" w:rsidRPr="001D0A60" w:rsidRDefault="004A64FA" w:rsidP="004A64FA">
            <w:pPr>
              <w:snapToGrid w:val="0"/>
              <w:jc w:val="center"/>
              <w:rPr>
                <w:rFonts w:ascii="宋体"/>
                <w:sz w:val="20"/>
                <w:szCs w:val="20"/>
              </w:rPr>
            </w:pPr>
            <w:r w:rsidRPr="001D0A60">
              <w:rPr>
                <w:rFonts w:ascii="宋体" w:hAnsi="宋体" w:hint="eastAsia"/>
                <w:sz w:val="20"/>
                <w:szCs w:val="20"/>
              </w:rPr>
              <w:t>主要内容</w:t>
            </w:r>
          </w:p>
        </w:tc>
        <w:tc>
          <w:tcPr>
            <w:tcW w:w="833"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实验</w:t>
            </w:r>
          </w:p>
          <w:p w:rsidR="004A64FA" w:rsidRPr="001D0A60" w:rsidRDefault="004A64FA" w:rsidP="004A64FA">
            <w:pPr>
              <w:snapToGrid w:val="0"/>
              <w:jc w:val="center"/>
              <w:rPr>
                <w:rFonts w:ascii="宋体"/>
                <w:sz w:val="20"/>
                <w:szCs w:val="20"/>
              </w:rPr>
            </w:pPr>
            <w:r w:rsidRPr="001D0A60">
              <w:rPr>
                <w:rFonts w:ascii="宋体" w:hAnsi="宋体" w:hint="eastAsia"/>
                <w:sz w:val="20"/>
                <w:szCs w:val="20"/>
              </w:rPr>
              <w:t>时数</w:t>
            </w:r>
          </w:p>
        </w:tc>
        <w:tc>
          <w:tcPr>
            <w:tcW w:w="833" w:type="pct"/>
          </w:tcPr>
          <w:p w:rsidR="004A64FA" w:rsidRPr="001D0A60" w:rsidRDefault="004A64FA" w:rsidP="004A64FA">
            <w:pPr>
              <w:snapToGrid w:val="0"/>
              <w:jc w:val="center"/>
              <w:rPr>
                <w:rFonts w:ascii="宋体"/>
                <w:sz w:val="20"/>
                <w:szCs w:val="20"/>
              </w:rPr>
            </w:pPr>
            <w:r w:rsidRPr="001D0A60">
              <w:rPr>
                <w:rFonts w:ascii="宋体" w:hint="eastAsia"/>
                <w:sz w:val="20"/>
                <w:szCs w:val="20"/>
              </w:rPr>
              <w:t>实验类型</w:t>
            </w:r>
          </w:p>
        </w:tc>
        <w:tc>
          <w:tcPr>
            <w:tcW w:w="833" w:type="pct"/>
          </w:tcPr>
          <w:p w:rsidR="004A64FA" w:rsidRPr="001D0A60" w:rsidRDefault="004A64FA" w:rsidP="004A64FA">
            <w:pPr>
              <w:snapToGrid w:val="0"/>
              <w:jc w:val="center"/>
              <w:rPr>
                <w:rFonts w:ascii="宋体"/>
                <w:sz w:val="20"/>
                <w:szCs w:val="20"/>
              </w:rPr>
            </w:pPr>
            <w:r w:rsidRPr="001D0A60">
              <w:rPr>
                <w:rFonts w:ascii="宋体" w:hAnsi="宋体" w:hint="eastAsia"/>
                <w:sz w:val="20"/>
                <w:szCs w:val="20"/>
              </w:rPr>
              <w:t>备注</w:t>
            </w:r>
          </w:p>
        </w:tc>
      </w:tr>
      <w:tr w:rsidR="004A64FA" w:rsidRPr="001D0A60" w:rsidTr="004A64FA">
        <w:tc>
          <w:tcPr>
            <w:tcW w:w="397"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1</w:t>
            </w:r>
          </w:p>
        </w:tc>
        <w:tc>
          <w:tcPr>
            <w:tcW w:w="831"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财务分析</w:t>
            </w:r>
          </w:p>
        </w:tc>
        <w:tc>
          <w:tcPr>
            <w:tcW w:w="1273" w:type="pct"/>
          </w:tcPr>
          <w:p w:rsidR="004A64FA" w:rsidRPr="001D0A60" w:rsidRDefault="004A64FA" w:rsidP="004A64FA">
            <w:pPr>
              <w:snapToGrid w:val="0"/>
              <w:jc w:val="left"/>
              <w:rPr>
                <w:rFonts w:ascii="宋体" w:hAnsi="宋体"/>
                <w:sz w:val="20"/>
                <w:szCs w:val="20"/>
              </w:rPr>
            </w:pPr>
            <w:r w:rsidRPr="001D0A60">
              <w:rPr>
                <w:rFonts w:ascii="宋体" w:hAnsi="宋体" w:hint="eastAsia"/>
                <w:sz w:val="20"/>
                <w:szCs w:val="20"/>
              </w:rPr>
              <w:t>利用上市企业的资产负债标、利润表等对主要指标对企业核心指标进行计算</w:t>
            </w:r>
          </w:p>
        </w:tc>
        <w:tc>
          <w:tcPr>
            <w:tcW w:w="833"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4</w:t>
            </w:r>
          </w:p>
        </w:tc>
        <w:tc>
          <w:tcPr>
            <w:tcW w:w="833"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上机实验</w:t>
            </w:r>
          </w:p>
        </w:tc>
        <w:tc>
          <w:tcPr>
            <w:tcW w:w="833"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提交实验报告1</w:t>
            </w:r>
          </w:p>
        </w:tc>
      </w:tr>
      <w:tr w:rsidR="004A64FA" w:rsidRPr="001D0A60" w:rsidTr="004A64FA">
        <w:tc>
          <w:tcPr>
            <w:tcW w:w="397"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2</w:t>
            </w:r>
          </w:p>
        </w:tc>
        <w:tc>
          <w:tcPr>
            <w:tcW w:w="831"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财务估值</w:t>
            </w:r>
          </w:p>
        </w:tc>
        <w:tc>
          <w:tcPr>
            <w:tcW w:w="1273"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股票和债券的估值</w:t>
            </w:r>
          </w:p>
        </w:tc>
        <w:tc>
          <w:tcPr>
            <w:tcW w:w="833"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4</w:t>
            </w:r>
          </w:p>
        </w:tc>
        <w:tc>
          <w:tcPr>
            <w:tcW w:w="833"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上机实验</w:t>
            </w:r>
          </w:p>
        </w:tc>
        <w:tc>
          <w:tcPr>
            <w:tcW w:w="833" w:type="pct"/>
          </w:tcPr>
          <w:p w:rsidR="004A64FA" w:rsidRPr="001D0A60" w:rsidRDefault="004A64FA" w:rsidP="004A64FA">
            <w:pPr>
              <w:snapToGrid w:val="0"/>
              <w:jc w:val="center"/>
              <w:rPr>
                <w:rFonts w:ascii="宋体" w:hAnsi="宋体"/>
                <w:sz w:val="20"/>
                <w:szCs w:val="20"/>
              </w:rPr>
            </w:pPr>
            <w:r w:rsidRPr="001D0A60">
              <w:rPr>
                <w:rFonts w:ascii="宋体" w:hAnsi="宋体" w:hint="eastAsia"/>
                <w:sz w:val="20"/>
                <w:szCs w:val="20"/>
              </w:rPr>
              <w:t>提交实验报告</w:t>
            </w:r>
            <w:r w:rsidRPr="001D0A60">
              <w:rPr>
                <w:rFonts w:ascii="宋体" w:hAnsi="宋体"/>
                <w:sz w:val="20"/>
                <w:szCs w:val="20"/>
              </w:rPr>
              <w:t>2</w:t>
            </w:r>
          </w:p>
        </w:tc>
      </w:tr>
    </w:tbl>
    <w:p w:rsidR="004A64FA" w:rsidRPr="001D0A60" w:rsidRDefault="004A64FA">
      <w:pPr>
        <w:snapToGrid w:val="0"/>
        <w:spacing w:line="288" w:lineRule="auto"/>
        <w:ind w:right="2520"/>
        <w:rPr>
          <w:rFonts w:ascii="黑体" w:eastAsia="黑体" w:hAnsi="宋体"/>
          <w:sz w:val="24"/>
        </w:rPr>
      </w:pPr>
    </w:p>
    <w:p w:rsidR="004A64FA" w:rsidRPr="001D0A60" w:rsidRDefault="004A64FA">
      <w:pPr>
        <w:snapToGrid w:val="0"/>
        <w:spacing w:line="288" w:lineRule="auto"/>
        <w:ind w:right="2520"/>
        <w:rPr>
          <w:rFonts w:ascii="黑体" w:eastAsia="黑体" w:hAnsi="宋体"/>
          <w:sz w:val="24"/>
        </w:rPr>
      </w:pPr>
    </w:p>
    <w:p w:rsidR="004A64FA" w:rsidRPr="001D0A60" w:rsidRDefault="004A64FA">
      <w:pPr>
        <w:snapToGrid w:val="0"/>
        <w:spacing w:line="288" w:lineRule="auto"/>
        <w:ind w:right="2520"/>
        <w:rPr>
          <w:rFonts w:ascii="黑体" w:eastAsia="黑体" w:hAnsi="宋体"/>
          <w:sz w:val="24"/>
        </w:rPr>
      </w:pPr>
    </w:p>
    <w:p w:rsidR="001D0A60" w:rsidRPr="001D0A60" w:rsidRDefault="004A64FA" w:rsidP="001D0A60">
      <w:pPr>
        <w:snapToGrid w:val="0"/>
        <w:spacing w:line="288" w:lineRule="auto"/>
        <w:ind w:right="2520" w:firstLineChars="200" w:firstLine="480"/>
        <w:rPr>
          <w:sz w:val="20"/>
          <w:szCs w:val="20"/>
        </w:rPr>
      </w:pPr>
      <w:r w:rsidRPr="001D0A60">
        <w:rPr>
          <w:rFonts w:ascii="黑体" w:eastAsia="黑体" w:hAnsi="宋体" w:hint="eastAsia"/>
          <w:sz w:val="24"/>
        </w:rPr>
        <w:t>八、评价方式与成绩</w:t>
      </w:r>
      <w:r w:rsidRPr="001D0A60">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D0A60" w:rsidRPr="001D0A60" w:rsidTr="0084552D">
        <w:tc>
          <w:tcPr>
            <w:tcW w:w="1809" w:type="dxa"/>
            <w:shd w:val="clear" w:color="auto" w:fill="auto"/>
          </w:tcPr>
          <w:p w:rsidR="001D0A60" w:rsidRPr="001D0A60" w:rsidRDefault="001D0A60" w:rsidP="0084552D">
            <w:pPr>
              <w:snapToGrid w:val="0"/>
              <w:spacing w:beforeLines="50" w:before="156" w:afterLines="50" w:after="156"/>
              <w:rPr>
                <w:rFonts w:ascii="宋体" w:hAnsi="宋体"/>
                <w:bCs/>
                <w:color w:val="000000"/>
                <w:szCs w:val="20"/>
              </w:rPr>
            </w:pPr>
            <w:bookmarkStart w:id="1" w:name="_Hlk33698121"/>
            <w:bookmarkStart w:id="2" w:name="_GoBack"/>
            <w:r w:rsidRPr="001D0A60">
              <w:rPr>
                <w:rFonts w:ascii="宋体" w:hAnsi="宋体" w:hint="eastAsia"/>
                <w:bCs/>
                <w:color w:val="000000"/>
                <w:szCs w:val="20"/>
              </w:rPr>
              <w:t>总评构成（1+</w:t>
            </w:r>
            <w:r w:rsidRPr="001D0A60">
              <w:rPr>
                <w:rFonts w:ascii="宋体" w:hAnsi="宋体"/>
                <w:bCs/>
                <w:color w:val="000000"/>
                <w:szCs w:val="20"/>
              </w:rPr>
              <w:t>X</w:t>
            </w:r>
            <w:r w:rsidRPr="001D0A60">
              <w:rPr>
                <w:rFonts w:ascii="宋体" w:hAnsi="宋体" w:hint="eastAsia"/>
                <w:bCs/>
                <w:color w:val="000000"/>
                <w:szCs w:val="20"/>
              </w:rPr>
              <w:t>）</w:t>
            </w:r>
          </w:p>
        </w:tc>
        <w:tc>
          <w:tcPr>
            <w:tcW w:w="510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评价方式</w:t>
            </w:r>
          </w:p>
        </w:tc>
        <w:tc>
          <w:tcPr>
            <w:tcW w:w="184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占比</w:t>
            </w:r>
          </w:p>
        </w:tc>
      </w:tr>
      <w:tr w:rsidR="001D0A60" w:rsidRPr="001D0A60" w:rsidTr="0084552D">
        <w:tc>
          <w:tcPr>
            <w:tcW w:w="1809"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1</w:t>
            </w:r>
          </w:p>
        </w:tc>
        <w:tc>
          <w:tcPr>
            <w:tcW w:w="510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期末考试</w:t>
            </w:r>
          </w:p>
        </w:tc>
        <w:tc>
          <w:tcPr>
            <w:tcW w:w="184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4</w:t>
            </w:r>
            <w:r w:rsidRPr="001D0A60">
              <w:rPr>
                <w:rFonts w:ascii="宋体" w:hAnsi="宋体"/>
                <w:bCs/>
                <w:color w:val="000000"/>
                <w:szCs w:val="20"/>
              </w:rPr>
              <w:t>0</w:t>
            </w:r>
            <w:r w:rsidRPr="001D0A60">
              <w:rPr>
                <w:rFonts w:ascii="宋体" w:hAnsi="宋体" w:hint="eastAsia"/>
                <w:bCs/>
                <w:color w:val="000000"/>
                <w:szCs w:val="20"/>
              </w:rPr>
              <w:t>%</w:t>
            </w:r>
          </w:p>
        </w:tc>
      </w:tr>
      <w:tr w:rsidR="001D0A60" w:rsidRPr="001D0A60" w:rsidTr="0084552D">
        <w:tc>
          <w:tcPr>
            <w:tcW w:w="1809"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X1</w:t>
            </w:r>
          </w:p>
        </w:tc>
        <w:tc>
          <w:tcPr>
            <w:tcW w:w="510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习题</w:t>
            </w:r>
          </w:p>
        </w:tc>
        <w:tc>
          <w:tcPr>
            <w:tcW w:w="184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2</w:t>
            </w:r>
            <w:r w:rsidRPr="001D0A60">
              <w:rPr>
                <w:rFonts w:ascii="宋体" w:hAnsi="宋体"/>
                <w:bCs/>
                <w:color w:val="000000"/>
                <w:szCs w:val="20"/>
              </w:rPr>
              <w:t>0</w:t>
            </w:r>
            <w:r w:rsidRPr="001D0A60">
              <w:rPr>
                <w:rFonts w:ascii="宋体" w:hAnsi="宋体" w:hint="eastAsia"/>
                <w:bCs/>
                <w:color w:val="000000"/>
                <w:szCs w:val="20"/>
              </w:rPr>
              <w:t>%</w:t>
            </w:r>
          </w:p>
        </w:tc>
      </w:tr>
      <w:tr w:rsidR="001D0A60" w:rsidRPr="001D0A60" w:rsidTr="0084552D">
        <w:tc>
          <w:tcPr>
            <w:tcW w:w="1809"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lastRenderedPageBreak/>
              <w:t>X2</w:t>
            </w:r>
          </w:p>
        </w:tc>
        <w:tc>
          <w:tcPr>
            <w:tcW w:w="510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实验报告1</w:t>
            </w:r>
          </w:p>
        </w:tc>
        <w:tc>
          <w:tcPr>
            <w:tcW w:w="184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2</w:t>
            </w:r>
            <w:r w:rsidRPr="001D0A60">
              <w:rPr>
                <w:rFonts w:ascii="宋体" w:hAnsi="宋体"/>
                <w:bCs/>
                <w:color w:val="000000"/>
                <w:szCs w:val="20"/>
              </w:rPr>
              <w:t>0</w:t>
            </w:r>
            <w:r w:rsidRPr="001D0A60">
              <w:rPr>
                <w:rFonts w:ascii="宋体" w:hAnsi="宋体" w:hint="eastAsia"/>
                <w:bCs/>
                <w:color w:val="000000"/>
                <w:szCs w:val="20"/>
              </w:rPr>
              <w:t>%</w:t>
            </w:r>
          </w:p>
        </w:tc>
      </w:tr>
      <w:tr w:rsidR="001D0A60" w:rsidRPr="001D0A60" w:rsidTr="0084552D">
        <w:tc>
          <w:tcPr>
            <w:tcW w:w="1809"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X3</w:t>
            </w:r>
          </w:p>
        </w:tc>
        <w:tc>
          <w:tcPr>
            <w:tcW w:w="510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实验报告</w:t>
            </w:r>
            <w:r w:rsidRPr="001D0A60">
              <w:rPr>
                <w:rFonts w:ascii="宋体" w:hAnsi="宋体"/>
                <w:bCs/>
                <w:color w:val="000000"/>
                <w:szCs w:val="20"/>
              </w:rPr>
              <w:t>2</w:t>
            </w:r>
          </w:p>
        </w:tc>
        <w:tc>
          <w:tcPr>
            <w:tcW w:w="1843" w:type="dxa"/>
            <w:shd w:val="clear" w:color="auto" w:fill="auto"/>
          </w:tcPr>
          <w:p w:rsidR="001D0A60" w:rsidRPr="001D0A60" w:rsidRDefault="001D0A60" w:rsidP="0084552D">
            <w:pPr>
              <w:snapToGrid w:val="0"/>
              <w:spacing w:beforeLines="50" w:before="156" w:afterLines="50" w:after="156"/>
              <w:jc w:val="center"/>
              <w:rPr>
                <w:rFonts w:ascii="宋体" w:hAnsi="宋体"/>
                <w:bCs/>
                <w:color w:val="000000"/>
                <w:szCs w:val="20"/>
              </w:rPr>
            </w:pPr>
            <w:r w:rsidRPr="001D0A60">
              <w:rPr>
                <w:rFonts w:ascii="宋体" w:hAnsi="宋体" w:hint="eastAsia"/>
                <w:bCs/>
                <w:color w:val="000000"/>
                <w:szCs w:val="20"/>
              </w:rPr>
              <w:t>2</w:t>
            </w:r>
            <w:r w:rsidRPr="001D0A60">
              <w:rPr>
                <w:rFonts w:ascii="宋体" w:hAnsi="宋体"/>
                <w:bCs/>
                <w:color w:val="000000"/>
                <w:szCs w:val="20"/>
              </w:rPr>
              <w:t>0</w:t>
            </w:r>
            <w:r w:rsidRPr="001D0A60">
              <w:rPr>
                <w:rFonts w:ascii="宋体" w:hAnsi="宋体" w:hint="eastAsia"/>
                <w:bCs/>
                <w:color w:val="000000"/>
                <w:szCs w:val="20"/>
              </w:rPr>
              <w:t>%</w:t>
            </w:r>
          </w:p>
        </w:tc>
      </w:tr>
      <w:bookmarkEnd w:id="1"/>
      <w:bookmarkEnd w:id="2"/>
    </w:tbl>
    <w:p w:rsidR="001D0A60" w:rsidRDefault="001D0A60">
      <w:pPr>
        <w:widowControl/>
        <w:spacing w:beforeLines="50" w:before="156" w:afterLines="50" w:after="156" w:line="288" w:lineRule="auto"/>
        <w:jc w:val="left"/>
        <w:rPr>
          <w:rFonts w:ascii="黑体" w:eastAsia="黑体" w:hAnsi="宋体"/>
          <w:sz w:val="24"/>
        </w:rPr>
      </w:pPr>
    </w:p>
    <w:p w:rsidR="001D0A60" w:rsidRPr="001D0A60" w:rsidRDefault="001D0A60">
      <w:pPr>
        <w:widowControl/>
        <w:spacing w:beforeLines="50" w:before="156" w:afterLines="50" w:after="156" w:line="288" w:lineRule="auto"/>
        <w:jc w:val="left"/>
        <w:rPr>
          <w:rFonts w:ascii="黑体" w:eastAsia="黑体" w:hAnsi="宋体"/>
          <w:sz w:val="24"/>
        </w:rPr>
      </w:pPr>
    </w:p>
    <w:p w:rsidR="007031F2" w:rsidRPr="001D0A60" w:rsidRDefault="004A64FA">
      <w:pPr>
        <w:snapToGrid w:val="0"/>
        <w:spacing w:beforeLines="50" w:before="156" w:line="288" w:lineRule="auto"/>
        <w:ind w:firstLineChars="200" w:firstLine="400"/>
        <w:rPr>
          <w:rFonts w:ascii="宋体" w:hAnsi="宋体"/>
          <w:sz w:val="20"/>
          <w:szCs w:val="20"/>
        </w:rPr>
      </w:pPr>
      <w:r w:rsidRPr="001D0A60">
        <w:rPr>
          <w:rFonts w:ascii="宋体" w:hAnsi="宋体" w:hint="eastAsia"/>
          <w:sz w:val="20"/>
          <w:szCs w:val="20"/>
        </w:rPr>
        <w:t>“</w:t>
      </w:r>
      <w:r w:rsidRPr="001D0A60">
        <w:rPr>
          <w:rFonts w:ascii="宋体" w:hAnsi="宋体"/>
          <w:sz w:val="20"/>
          <w:szCs w:val="20"/>
        </w:rPr>
        <w:t>1</w:t>
      </w:r>
      <w:r w:rsidRPr="001D0A60">
        <w:rPr>
          <w:rFonts w:ascii="宋体" w:hAnsi="宋体" w:hint="eastAsia"/>
          <w:sz w:val="20"/>
          <w:szCs w:val="20"/>
        </w:rPr>
        <w:t>”一般为总结性评价, “</w:t>
      </w:r>
      <w:r w:rsidRPr="001D0A60">
        <w:rPr>
          <w:rFonts w:ascii="宋体" w:hAnsi="宋体"/>
          <w:sz w:val="20"/>
          <w:szCs w:val="20"/>
        </w:rPr>
        <w:t>X</w:t>
      </w:r>
      <w:r w:rsidRPr="001D0A60">
        <w:rPr>
          <w:rFonts w:ascii="宋体" w:hAnsi="宋体" w:hint="eastAsia"/>
          <w:sz w:val="20"/>
          <w:szCs w:val="20"/>
        </w:rPr>
        <w:t>”为过程性评价，“</w:t>
      </w:r>
      <w:r w:rsidRPr="001D0A60">
        <w:rPr>
          <w:rFonts w:ascii="宋体" w:hAnsi="宋体"/>
          <w:sz w:val="20"/>
          <w:szCs w:val="20"/>
        </w:rPr>
        <w:t>X</w:t>
      </w:r>
      <w:r w:rsidRPr="001D0A60">
        <w:rPr>
          <w:rFonts w:ascii="宋体" w:hAnsi="宋体" w:hint="eastAsia"/>
          <w:sz w:val="20"/>
          <w:szCs w:val="20"/>
        </w:rPr>
        <w:t>”的</w:t>
      </w:r>
      <w:r w:rsidRPr="001D0A60">
        <w:rPr>
          <w:rFonts w:hint="eastAsia"/>
          <w:color w:val="000000"/>
          <w:sz w:val="20"/>
          <w:szCs w:val="20"/>
        </w:rPr>
        <w:t>次数一般不少于</w:t>
      </w:r>
      <w:r w:rsidRPr="001D0A60">
        <w:rPr>
          <w:rFonts w:hint="eastAsia"/>
          <w:color w:val="000000"/>
          <w:sz w:val="20"/>
          <w:szCs w:val="20"/>
        </w:rPr>
        <w:t>3</w:t>
      </w:r>
      <w:r w:rsidRPr="001D0A60">
        <w:rPr>
          <w:rFonts w:hint="eastAsia"/>
          <w:color w:val="000000"/>
          <w:sz w:val="20"/>
          <w:szCs w:val="20"/>
        </w:rPr>
        <w:t>次，无论是</w:t>
      </w:r>
      <w:r w:rsidRPr="001D0A60">
        <w:rPr>
          <w:rFonts w:ascii="宋体" w:hAnsi="宋体" w:hint="eastAsia"/>
          <w:sz w:val="20"/>
          <w:szCs w:val="20"/>
        </w:rPr>
        <w:t>“</w:t>
      </w:r>
      <w:r w:rsidRPr="001D0A60">
        <w:rPr>
          <w:rFonts w:ascii="宋体" w:hAnsi="宋体"/>
          <w:sz w:val="20"/>
          <w:szCs w:val="20"/>
        </w:rPr>
        <w:t>1</w:t>
      </w:r>
      <w:r w:rsidRPr="001D0A60">
        <w:rPr>
          <w:rFonts w:ascii="宋体" w:hAnsi="宋体" w:hint="eastAsia"/>
          <w:sz w:val="20"/>
          <w:szCs w:val="20"/>
        </w:rPr>
        <w:t>”、还是“</w:t>
      </w:r>
      <w:r w:rsidRPr="001D0A60">
        <w:rPr>
          <w:rFonts w:ascii="宋体" w:hAnsi="宋体"/>
          <w:sz w:val="20"/>
          <w:szCs w:val="20"/>
        </w:rPr>
        <w:t>X</w:t>
      </w:r>
      <w:r w:rsidRPr="001D0A60">
        <w:rPr>
          <w:rFonts w:ascii="宋体" w:hAnsi="宋体" w:hint="eastAsia"/>
          <w:sz w:val="20"/>
          <w:szCs w:val="20"/>
        </w:rPr>
        <w:t>”，都可以是纸笔测试，也可以是表现性评价。与能力本位相适应的课程评价方式，较少采用纸笔测试，较多采用表现性评价。</w:t>
      </w:r>
    </w:p>
    <w:p w:rsidR="007031F2" w:rsidRPr="001D0A60" w:rsidRDefault="004A64FA">
      <w:pPr>
        <w:snapToGrid w:val="0"/>
        <w:spacing w:before="120" w:after="120" w:line="288" w:lineRule="auto"/>
        <w:ind w:firstLineChars="200" w:firstLine="400"/>
        <w:rPr>
          <w:b/>
          <w:color w:val="000000"/>
          <w:sz w:val="20"/>
          <w:szCs w:val="20"/>
        </w:rPr>
      </w:pPr>
      <w:r w:rsidRPr="001D0A60">
        <w:rPr>
          <w:rFonts w:hint="eastAsia"/>
          <w:color w:val="000000"/>
          <w:sz w:val="20"/>
          <w:szCs w:val="20"/>
        </w:rPr>
        <w:t>常用</w:t>
      </w:r>
      <w:r w:rsidRPr="001D0A60">
        <w:rPr>
          <w:color w:val="000000"/>
          <w:sz w:val="20"/>
          <w:szCs w:val="20"/>
        </w:rPr>
        <w:t>的</w:t>
      </w:r>
      <w:r w:rsidRPr="001D0A60">
        <w:rPr>
          <w:rFonts w:hint="eastAsia"/>
          <w:color w:val="000000"/>
          <w:sz w:val="20"/>
          <w:szCs w:val="20"/>
        </w:rPr>
        <w:t>评价</w:t>
      </w:r>
      <w:r w:rsidRPr="001D0A60">
        <w:rPr>
          <w:color w:val="000000"/>
          <w:sz w:val="20"/>
          <w:szCs w:val="20"/>
        </w:rPr>
        <w:t>方式</w:t>
      </w:r>
      <w:r w:rsidRPr="001D0A60">
        <w:rPr>
          <w:rFonts w:hint="eastAsia"/>
          <w:color w:val="000000"/>
          <w:sz w:val="20"/>
          <w:szCs w:val="20"/>
        </w:rPr>
        <w:t>有</w:t>
      </w:r>
      <w:r w:rsidRPr="001D0A60">
        <w:rPr>
          <w:color w:val="000000"/>
          <w:sz w:val="20"/>
          <w:szCs w:val="20"/>
        </w:rPr>
        <w:t>：</w:t>
      </w:r>
      <w:r w:rsidRPr="001D0A60">
        <w:rPr>
          <w:rFonts w:ascii="宋体" w:hAnsi="宋体" w:hint="eastAsia"/>
          <w:sz w:val="20"/>
          <w:szCs w:val="20"/>
        </w:rPr>
        <w:t>课堂展示、口头</w:t>
      </w:r>
      <w:r w:rsidRPr="001D0A60">
        <w:rPr>
          <w:rFonts w:ascii="宋体" w:hAnsi="宋体"/>
          <w:sz w:val="20"/>
          <w:szCs w:val="20"/>
        </w:rPr>
        <w:t>报告、</w:t>
      </w:r>
      <w:r w:rsidRPr="001D0A60">
        <w:rPr>
          <w:rFonts w:ascii="宋体" w:hAnsi="宋体" w:hint="eastAsia"/>
          <w:sz w:val="20"/>
          <w:szCs w:val="20"/>
        </w:rPr>
        <w:t>论文、日志、反思</w:t>
      </w:r>
      <w:r w:rsidRPr="001D0A60">
        <w:rPr>
          <w:rFonts w:ascii="宋体" w:hAnsi="宋体"/>
          <w:sz w:val="20"/>
          <w:szCs w:val="20"/>
        </w:rPr>
        <w:t>、</w:t>
      </w:r>
      <w:r w:rsidRPr="001D0A60">
        <w:rPr>
          <w:rFonts w:ascii="宋体" w:hAnsi="宋体" w:hint="eastAsia"/>
          <w:sz w:val="20"/>
          <w:szCs w:val="20"/>
        </w:rPr>
        <w:t>调查报告、个人项目报告、小组</w:t>
      </w:r>
      <w:r w:rsidRPr="001D0A60">
        <w:rPr>
          <w:rFonts w:ascii="宋体" w:hAnsi="宋体"/>
          <w:sz w:val="20"/>
          <w:szCs w:val="20"/>
        </w:rPr>
        <w:t>项目报告、</w:t>
      </w:r>
      <w:r w:rsidRPr="001D0A60">
        <w:rPr>
          <w:rFonts w:ascii="宋体" w:hAnsi="宋体" w:hint="eastAsia"/>
          <w:sz w:val="20"/>
          <w:szCs w:val="20"/>
        </w:rPr>
        <w:t>实验报告、读书报告、作品（选集</w:t>
      </w:r>
      <w:r w:rsidRPr="001D0A60">
        <w:rPr>
          <w:rFonts w:ascii="宋体" w:hAnsi="宋体"/>
          <w:sz w:val="20"/>
          <w:szCs w:val="20"/>
        </w:rPr>
        <w:t>）</w:t>
      </w:r>
      <w:r w:rsidRPr="001D0A60">
        <w:rPr>
          <w:rFonts w:ascii="宋体" w:hAnsi="宋体" w:hint="eastAsia"/>
          <w:sz w:val="20"/>
          <w:szCs w:val="20"/>
        </w:rPr>
        <w:t>、口试、课堂小测验、</w:t>
      </w:r>
      <w:r w:rsidRPr="001D0A60">
        <w:rPr>
          <w:rFonts w:ascii="宋体" w:hAnsi="宋体"/>
          <w:sz w:val="20"/>
          <w:szCs w:val="20"/>
        </w:rPr>
        <w:t>期终闭卷考、期终开卷考、</w:t>
      </w:r>
      <w:r w:rsidRPr="001D0A60">
        <w:rPr>
          <w:rFonts w:ascii="宋体" w:hAnsi="宋体" w:hint="eastAsia"/>
          <w:sz w:val="20"/>
          <w:szCs w:val="20"/>
        </w:rPr>
        <w:t>工作</w:t>
      </w:r>
      <w:r w:rsidRPr="001D0A60">
        <w:rPr>
          <w:rFonts w:ascii="宋体" w:hAnsi="宋体"/>
          <w:sz w:val="20"/>
          <w:szCs w:val="20"/>
        </w:rPr>
        <w:t>现场评估、</w:t>
      </w:r>
      <w:r w:rsidRPr="001D0A60">
        <w:rPr>
          <w:rFonts w:ascii="宋体" w:hAnsi="宋体" w:hint="eastAsia"/>
          <w:sz w:val="20"/>
          <w:szCs w:val="20"/>
        </w:rPr>
        <w:t>自我</w:t>
      </w:r>
      <w:r w:rsidRPr="001D0A60">
        <w:rPr>
          <w:rFonts w:ascii="宋体" w:hAnsi="宋体"/>
          <w:sz w:val="20"/>
          <w:szCs w:val="20"/>
        </w:rPr>
        <w:t>评估、</w:t>
      </w:r>
      <w:r w:rsidRPr="001D0A60">
        <w:rPr>
          <w:rFonts w:ascii="宋体" w:hAnsi="宋体" w:hint="eastAsia"/>
          <w:sz w:val="20"/>
          <w:szCs w:val="20"/>
        </w:rPr>
        <w:t>同辈</w:t>
      </w:r>
      <w:r w:rsidRPr="001D0A60">
        <w:rPr>
          <w:rFonts w:ascii="宋体" w:hAnsi="宋体"/>
          <w:sz w:val="20"/>
          <w:szCs w:val="20"/>
        </w:rPr>
        <w:t>评估</w:t>
      </w:r>
      <w:r w:rsidRPr="001D0A60">
        <w:rPr>
          <w:rFonts w:ascii="宋体" w:hAnsi="宋体" w:hint="eastAsia"/>
          <w:sz w:val="20"/>
          <w:szCs w:val="20"/>
        </w:rPr>
        <w:t>等等</w:t>
      </w:r>
      <w:r w:rsidRPr="001D0A60">
        <w:rPr>
          <w:rFonts w:ascii="宋体" w:hAnsi="宋体"/>
          <w:sz w:val="20"/>
          <w:szCs w:val="20"/>
        </w:rPr>
        <w:t>。</w:t>
      </w:r>
      <w:r w:rsidRPr="001D0A60">
        <w:rPr>
          <w:rFonts w:ascii="宋体" w:hAnsi="宋体" w:hint="eastAsia"/>
          <w:b/>
          <w:sz w:val="20"/>
          <w:szCs w:val="20"/>
        </w:rPr>
        <w:t>一般课外扩展阅读的检查评价应该成为“X”中的一部分。</w:t>
      </w:r>
    </w:p>
    <w:p w:rsidR="007031F2" w:rsidRPr="001D0A60" w:rsidRDefault="004A64FA">
      <w:pPr>
        <w:snapToGrid w:val="0"/>
        <w:spacing w:before="120" w:after="120" w:line="288" w:lineRule="auto"/>
        <w:ind w:firstLineChars="200" w:firstLine="400"/>
        <w:rPr>
          <w:rFonts w:ascii="宋体" w:hAnsi="宋体"/>
          <w:sz w:val="20"/>
          <w:szCs w:val="20"/>
        </w:rPr>
      </w:pPr>
      <w:r w:rsidRPr="001D0A60">
        <w:rPr>
          <w:rFonts w:ascii="宋体" w:hAnsi="宋体" w:hint="eastAsia"/>
          <w:sz w:val="20"/>
          <w:szCs w:val="20"/>
        </w:rPr>
        <w:t>同一门课程由多个教师共同授课的，由课程组共同讨论决定X的内容、次数及比例。</w:t>
      </w:r>
    </w:p>
    <w:p w:rsidR="007031F2" w:rsidRPr="001D0A60" w:rsidRDefault="007031F2" w:rsidP="001D0A60">
      <w:pPr>
        <w:snapToGrid w:val="0"/>
        <w:spacing w:before="120" w:after="120" w:line="288" w:lineRule="auto"/>
        <w:rPr>
          <w:rFonts w:ascii="宋体" w:hAnsi="宋体"/>
          <w:sz w:val="20"/>
          <w:szCs w:val="20"/>
        </w:rPr>
      </w:pPr>
    </w:p>
    <w:p w:rsidR="007031F2" w:rsidRPr="001D0A60" w:rsidRDefault="004A64FA">
      <w:pPr>
        <w:snapToGrid w:val="0"/>
        <w:spacing w:line="288" w:lineRule="auto"/>
        <w:ind w:firstLineChars="300" w:firstLine="840"/>
        <w:rPr>
          <w:sz w:val="28"/>
          <w:szCs w:val="28"/>
        </w:rPr>
      </w:pPr>
      <w:r w:rsidRPr="001D0A60">
        <w:rPr>
          <w:rFonts w:hint="eastAsia"/>
          <w:sz w:val="28"/>
          <w:szCs w:val="28"/>
        </w:rPr>
        <w:t>撰写人：</w:t>
      </w:r>
      <w:r w:rsidR="001D0A60">
        <w:rPr>
          <w:rFonts w:hint="eastAsia"/>
          <w:sz w:val="28"/>
          <w:szCs w:val="28"/>
        </w:rPr>
        <w:t>万元</w:t>
      </w:r>
      <w:r w:rsidRPr="001D0A60">
        <w:rPr>
          <w:rFonts w:hint="eastAsia"/>
          <w:sz w:val="28"/>
          <w:szCs w:val="28"/>
        </w:rPr>
        <w:t xml:space="preserve">           </w:t>
      </w:r>
      <w:r w:rsidRPr="001D0A60">
        <w:rPr>
          <w:rFonts w:hint="eastAsia"/>
          <w:sz w:val="28"/>
          <w:szCs w:val="28"/>
        </w:rPr>
        <w:t>系主任审核签名：</w:t>
      </w:r>
    </w:p>
    <w:p w:rsidR="007031F2" w:rsidRDefault="004A64FA">
      <w:pPr>
        <w:snapToGrid w:val="0"/>
        <w:spacing w:line="288" w:lineRule="auto"/>
        <w:ind w:firstLineChars="300" w:firstLine="840"/>
        <w:rPr>
          <w:sz w:val="28"/>
          <w:szCs w:val="28"/>
        </w:rPr>
      </w:pPr>
      <w:r w:rsidRPr="001D0A60">
        <w:rPr>
          <w:rFonts w:hint="eastAsia"/>
          <w:sz w:val="28"/>
          <w:szCs w:val="28"/>
        </w:rPr>
        <w:t>审核时间：</w:t>
      </w:r>
      <w:r>
        <w:rPr>
          <w:rFonts w:hint="eastAsia"/>
          <w:sz w:val="28"/>
          <w:szCs w:val="28"/>
        </w:rPr>
        <w:t xml:space="preserve">  </w:t>
      </w:r>
      <w:r w:rsidR="001D0A60">
        <w:rPr>
          <w:sz w:val="28"/>
          <w:szCs w:val="28"/>
        </w:rPr>
        <w:t>2020</w:t>
      </w:r>
      <w:r w:rsidR="001D0A60">
        <w:rPr>
          <w:rFonts w:hint="eastAsia"/>
          <w:sz w:val="28"/>
          <w:szCs w:val="28"/>
        </w:rPr>
        <w:t>年</w:t>
      </w:r>
      <w:r w:rsidR="001D0A60">
        <w:rPr>
          <w:rFonts w:hint="eastAsia"/>
          <w:sz w:val="28"/>
          <w:szCs w:val="28"/>
        </w:rPr>
        <w:t>2</w:t>
      </w:r>
      <w:r w:rsidR="001D0A60">
        <w:rPr>
          <w:rFonts w:hint="eastAsia"/>
          <w:sz w:val="28"/>
          <w:szCs w:val="28"/>
        </w:rPr>
        <w:t>月</w:t>
      </w:r>
      <w:r w:rsidR="001D0A60">
        <w:rPr>
          <w:rFonts w:hint="eastAsia"/>
          <w:sz w:val="28"/>
          <w:szCs w:val="28"/>
        </w:rPr>
        <w:t>2</w:t>
      </w:r>
      <w:r w:rsidR="001D0A60">
        <w:rPr>
          <w:sz w:val="28"/>
          <w:szCs w:val="28"/>
        </w:rPr>
        <w:t>7</w:t>
      </w:r>
      <w:r w:rsidR="001D0A60">
        <w:rPr>
          <w:rFonts w:hint="eastAsia"/>
          <w:sz w:val="28"/>
          <w:szCs w:val="28"/>
        </w:rPr>
        <w:t>日</w:t>
      </w:r>
      <w:r>
        <w:rPr>
          <w:rFonts w:hint="eastAsia"/>
          <w:sz w:val="28"/>
          <w:szCs w:val="28"/>
        </w:rPr>
        <w:t xml:space="preserve">               </w:t>
      </w:r>
    </w:p>
    <w:p w:rsidR="007031F2" w:rsidRDefault="007031F2"/>
    <w:sectPr w:rsidR="007031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9D8" w:rsidRDefault="003029D8" w:rsidP="001D0A60">
      <w:r>
        <w:separator/>
      </w:r>
    </w:p>
  </w:endnote>
  <w:endnote w:type="continuationSeparator" w:id="0">
    <w:p w:rsidR="003029D8" w:rsidRDefault="003029D8" w:rsidP="001D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FangSong"/>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9D8" w:rsidRDefault="003029D8" w:rsidP="001D0A60">
      <w:r>
        <w:separator/>
      </w:r>
    </w:p>
  </w:footnote>
  <w:footnote w:type="continuationSeparator" w:id="0">
    <w:p w:rsidR="003029D8" w:rsidRDefault="003029D8" w:rsidP="001D0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1072BC"/>
    <w:rsid w:val="001D0A60"/>
    <w:rsid w:val="00256B39"/>
    <w:rsid w:val="0026033C"/>
    <w:rsid w:val="002E3721"/>
    <w:rsid w:val="003029D8"/>
    <w:rsid w:val="00313BBA"/>
    <w:rsid w:val="0032602E"/>
    <w:rsid w:val="003367AE"/>
    <w:rsid w:val="00394F6D"/>
    <w:rsid w:val="003B1258"/>
    <w:rsid w:val="004100B0"/>
    <w:rsid w:val="004A64FA"/>
    <w:rsid w:val="005467DC"/>
    <w:rsid w:val="00553D03"/>
    <w:rsid w:val="005B2B6D"/>
    <w:rsid w:val="005B4B4E"/>
    <w:rsid w:val="00624FE1"/>
    <w:rsid w:val="007031F2"/>
    <w:rsid w:val="007208D6"/>
    <w:rsid w:val="00852E33"/>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BFE69D0"/>
  <w15:docId w15:val="{BFD8C19B-DD89-4E51-87E7-4DEC4EF2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Wan Yuan</cp:lastModifiedBy>
  <cp:revision>17</cp:revision>
  <dcterms:created xsi:type="dcterms:W3CDTF">2016-12-19T07:34:00Z</dcterms:created>
  <dcterms:modified xsi:type="dcterms:W3CDTF">2020-02-27T04:16:00Z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