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20" w:lineRule="exact"/>
        <w:ind w:firstLine="562"/>
        <w:rPr>
          <w:rFonts w:ascii="宋体" w:hAnsi="宋体" w:cs="宋体"/>
          <w:szCs w:val="28"/>
        </w:rPr>
      </w:pPr>
      <w:bookmarkStart w:id="0" w:name="_Toc355800432"/>
      <w:bookmarkStart w:id="1" w:name="_Toc356400403"/>
      <w:r>
        <w:rPr>
          <w:rFonts w:hint="eastAsia" w:ascii="宋体" w:hAnsi="宋体" w:cs="宋体"/>
          <w:szCs w:val="28"/>
        </w:rPr>
        <w:t>【宝石鉴定】</w:t>
      </w:r>
      <w:bookmarkEnd w:id="0"/>
      <w:bookmarkEnd w:id="1"/>
    </w:p>
    <w:p>
      <w:pPr>
        <w:spacing w:line="264" w:lineRule="auto"/>
        <w:ind w:firstLine="562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【Gemstone Identification】</w:t>
      </w:r>
    </w:p>
    <w:p>
      <w:pPr>
        <w:spacing w:line="360" w:lineRule="auto"/>
        <w:ind w:firstLine="0" w:firstLineChars="0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一、基本信息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bCs w:val="0"/>
          <w:color w:val="000000"/>
          <w:sz w:val="20"/>
          <w:szCs w:val="20"/>
        </w:rPr>
        <w:t>课程代码：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【2040016】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bCs w:val="0"/>
          <w:color w:val="000000"/>
          <w:sz w:val="20"/>
          <w:szCs w:val="20"/>
        </w:rPr>
        <w:t>课程学分：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【6】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bCs w:val="0"/>
          <w:color w:val="000000"/>
          <w:sz w:val="20"/>
          <w:szCs w:val="20"/>
        </w:rPr>
        <w:t>面向专业：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【</w:t>
      </w:r>
      <w:bookmarkStart w:id="2" w:name="OLE_LINK5"/>
      <w:r>
        <w:rPr>
          <w:rFonts w:hint="eastAsia" w:ascii="宋体" w:hAnsi="宋体" w:cs="宋体"/>
          <w:bCs/>
          <w:color w:val="000000"/>
          <w:sz w:val="20"/>
          <w:szCs w:val="20"/>
        </w:rPr>
        <w:t>宝石及材料工艺学</w:t>
      </w:r>
      <w:bookmarkEnd w:id="2"/>
      <w:r>
        <w:rPr>
          <w:rFonts w:hint="eastAsia" w:ascii="宋体" w:hAnsi="宋体" w:cs="宋体"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bCs w:val="0"/>
          <w:color w:val="000000"/>
          <w:sz w:val="20"/>
          <w:szCs w:val="20"/>
        </w:rPr>
        <w:t>课程性质：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院级必修课、专业核心课“</w:t>
      </w:r>
      <w:r>
        <w:rPr>
          <w:rFonts w:hint="eastAsia" w:ascii="宋体" w:hAnsi="宋体"/>
          <w:color w:val="000000"/>
          <w:sz w:val="20"/>
          <w:szCs w:val="20"/>
        </w:rPr>
        <w:t>◎”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bCs w:val="0"/>
          <w:color w:val="000000"/>
          <w:sz w:val="20"/>
          <w:szCs w:val="20"/>
        </w:rPr>
        <w:t>开课院系：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【珠宝学院】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bCs w:val="0"/>
          <w:color w:val="000000"/>
          <w:sz w:val="20"/>
          <w:szCs w:val="20"/>
        </w:rPr>
        <w:t>使用教材：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主教材【《系统宝石学》，张蓓莉编著，北京：地质出版社，2006.5】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 w:val="0"/>
          <w:bCs/>
          <w:color w:val="000000"/>
          <w:sz w:val="20"/>
          <w:szCs w:val="20"/>
        </w:rPr>
        <w:t>参考教材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【《宝玉石学》，学林出版社， 郭守国等编著，2005.6】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 w:val="0"/>
          <w:bCs/>
          <w:color w:val="000000"/>
          <w:sz w:val="20"/>
          <w:szCs w:val="20"/>
        </w:rPr>
        <w:t>参考教材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【《宝石学教程/GIC系列丛书》， 李娅莉等编著，2003.8】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 w:val="0"/>
          <w:bCs/>
          <w:color w:val="000000"/>
          <w:sz w:val="20"/>
          <w:szCs w:val="20"/>
        </w:rPr>
        <w:t>参考教材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【《宝石学证书教程（FGA）》，中国地质大学出版社， 陈钟惠译，2001.3】</w:t>
      </w:r>
    </w:p>
    <w:p>
      <w:pPr>
        <w:snapToGrid w:val="0"/>
        <w:spacing w:line="288" w:lineRule="auto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422"/>
        <w:rPr>
          <w:rFonts w:hint="eastAsia" w:ascii="宋体" w:hAnsi="宋体" w:cs="宋体"/>
          <w:b/>
          <w:bCs/>
          <w:color w:val="000000"/>
          <w:szCs w:val="21"/>
        </w:rPr>
      </w:pPr>
    </w:p>
    <w:p>
      <w:pPr>
        <w:snapToGrid w:val="0"/>
        <w:spacing w:line="288" w:lineRule="auto"/>
        <w:ind w:left="399" w:leftChars="190" w:firstLine="0" w:firstLineChars="0"/>
        <w:rPr>
          <w:rFonts w:hint="eastAsia"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bCs w:val="0"/>
          <w:color w:val="000000"/>
          <w:sz w:val="20"/>
          <w:szCs w:val="20"/>
        </w:rPr>
        <w:t>先修课程：</w:t>
      </w:r>
      <w:r>
        <w:rPr>
          <w:rFonts w:hint="eastAsia" w:ascii="宋体" w:hAnsi="宋体" w:cs="宋体"/>
          <w:b w:val="0"/>
          <w:bCs/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宝石地质基础及结晶矿物学2040148（4）、宝石学2040020（4）、钻石与钻石分级2040129（5）等】</w:t>
      </w:r>
    </w:p>
    <w:p>
      <w:pPr>
        <w:spacing w:line="360" w:lineRule="auto"/>
        <w:ind w:firstLine="0" w:firstLineChars="0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二、课程简介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Cs/>
          <w:color w:val="000000"/>
          <w:sz w:val="20"/>
          <w:szCs w:val="20"/>
        </w:rPr>
        <w:t>本课程内容包括宝石鉴定仪器和宝玉石鉴定两大部分。仪器部分主要介绍常规宝石鉴定仪器的</w:t>
      </w:r>
      <w:bookmarkStart w:id="3" w:name="OLE_LINK12"/>
      <w:r>
        <w:rPr>
          <w:rFonts w:hint="eastAsia" w:ascii="宋体" w:hAnsi="宋体" w:cs="宋体"/>
          <w:bCs/>
          <w:color w:val="000000"/>
          <w:sz w:val="20"/>
          <w:szCs w:val="20"/>
        </w:rPr>
        <w:t>工作原理、结构、用途、使用方法和注意事项</w:t>
      </w:r>
      <w:bookmarkEnd w:id="3"/>
      <w:r>
        <w:rPr>
          <w:rFonts w:hint="eastAsia" w:ascii="宋体" w:hAnsi="宋体" w:cs="宋体"/>
          <w:bCs/>
          <w:color w:val="000000"/>
          <w:sz w:val="20"/>
          <w:szCs w:val="20"/>
        </w:rPr>
        <w:t>等内容。第二部分主要介绍贵重宝石、普通宝石、常见玉石和有机宝石等约25种主要宝石品种的鉴定特征，重点介绍如何利用常规宝石鉴定仪器，系统鉴定上述主要宝石及其常见仿品、优化处理宝石以及合成宝石和人造宝石。</w:t>
      </w:r>
    </w:p>
    <w:p>
      <w:pPr>
        <w:spacing w:line="360" w:lineRule="auto"/>
        <w:ind w:firstLine="0" w:firstLineChars="0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三、选课建议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Cs/>
          <w:color w:val="000000"/>
          <w:sz w:val="20"/>
          <w:szCs w:val="20"/>
        </w:rPr>
        <w:t>本课程适于</w:t>
      </w:r>
      <w:bookmarkStart w:id="4" w:name="OLE_LINK6"/>
      <w:r>
        <w:rPr>
          <w:rFonts w:hint="eastAsia" w:ascii="宋体" w:hAnsi="宋体" w:cs="宋体"/>
          <w:bCs/>
          <w:color w:val="000000"/>
          <w:sz w:val="20"/>
          <w:szCs w:val="20"/>
        </w:rPr>
        <w:t>宝石材料及工艺学和产品设计（珠宝首饰设计）专业</w:t>
      </w:r>
      <w:bookmarkEnd w:id="4"/>
      <w:r>
        <w:rPr>
          <w:rFonts w:hint="eastAsia" w:ascii="宋体" w:hAnsi="宋体" w:cs="宋体"/>
          <w:bCs/>
          <w:color w:val="000000"/>
          <w:sz w:val="20"/>
          <w:szCs w:val="20"/>
        </w:rPr>
        <w:t>本科学生三年级第一学期学习，是该专业的专业必修课程，将为学生的专业知识学习和实际工作能力打下扎实的基础。授课内容力求符合宝石材料及工艺学、产品设计专业要求，贴近学生的实际水平，但同时也尽力体现学科本身的科学性、系统性和连贯性。</w:t>
      </w:r>
    </w:p>
    <w:p>
      <w:pPr>
        <w:numPr>
          <w:ilvl w:val="0"/>
          <w:numId w:val="1"/>
        </w:numPr>
        <w:spacing w:line="360" w:lineRule="auto"/>
        <w:ind w:firstLine="0" w:firstLineChars="0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课程与培养学生能力的关联性</w:t>
      </w:r>
    </w:p>
    <w:tbl>
      <w:tblPr>
        <w:tblStyle w:val="7"/>
        <w:tblpPr w:leftFromText="180" w:rightFromText="180" w:vertAnchor="text" w:horzAnchor="page" w:tblpX="2007" w:tblpY="585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掌握珠宝首饰加工技能和工艺的基本理论知识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snapToGrid w:val="0"/>
        <w:spacing w:line="288" w:lineRule="auto"/>
        <w:ind w:firstLine="400" w:firstLineChars="200"/>
        <w:rPr>
          <w:rFonts w:hint="eastAsia" w:ascii="宋体" w:hAnsi="宋体" w:cs="宋体"/>
          <w:bCs/>
          <w:color w:val="000000"/>
          <w:sz w:val="20"/>
          <w:szCs w:val="20"/>
          <w:lang w:eastAsia="zh-CN"/>
        </w:rPr>
      </w:pPr>
    </w:p>
    <w:p>
      <w:pPr>
        <w:snapToGrid w:val="0"/>
        <w:spacing w:line="288" w:lineRule="auto"/>
        <w:ind w:firstLine="400" w:firstLineChars="200"/>
        <w:rPr>
          <w:rFonts w:hint="eastAsia" w:ascii="宋体" w:hAnsi="宋体" w:cs="宋体"/>
          <w:bCs/>
          <w:color w:val="000000"/>
          <w:sz w:val="20"/>
          <w:szCs w:val="20"/>
          <w:lang w:eastAsia="zh-CN"/>
        </w:rPr>
      </w:pPr>
    </w:p>
    <w:p>
      <w:pPr>
        <w:snapToGrid w:val="0"/>
        <w:spacing w:line="288" w:lineRule="auto"/>
        <w:ind w:firstLine="400" w:firstLineChars="200"/>
        <w:rPr>
          <w:rFonts w:hint="eastAsia" w:ascii="宋体" w:hAnsi="宋体" w:cs="宋体"/>
          <w:bCs/>
          <w:color w:val="000000"/>
          <w:sz w:val="20"/>
          <w:szCs w:val="20"/>
          <w:lang w:eastAsia="zh-CN"/>
        </w:rPr>
      </w:pPr>
    </w:p>
    <w:p>
      <w:pPr>
        <w:spacing w:beforeLines="50" w:line="360" w:lineRule="auto"/>
        <w:ind w:firstLine="0" w:firstLineChars="0"/>
        <w:rPr>
          <w:rFonts w:hint="eastAsia" w:ascii="黑体" w:hAnsi="宋体" w:eastAsia="黑体"/>
          <w:b/>
          <w:sz w:val="24"/>
        </w:rPr>
      </w:pPr>
    </w:p>
    <w:p>
      <w:pPr>
        <w:spacing w:beforeLines="50" w:line="360" w:lineRule="auto"/>
        <w:ind w:firstLine="0" w:firstLineChars="0"/>
        <w:rPr>
          <w:rFonts w:hint="eastAsia" w:ascii="黑体" w:hAnsi="宋体" w:eastAsia="黑体"/>
          <w:b/>
          <w:sz w:val="24"/>
        </w:rPr>
      </w:pPr>
    </w:p>
    <w:p>
      <w:pPr>
        <w:spacing w:beforeLines="50" w:line="360" w:lineRule="auto"/>
        <w:ind w:firstLine="0" w:firstLineChars="0"/>
        <w:rPr>
          <w:rFonts w:hint="eastAsia" w:ascii="黑体" w:hAnsi="宋体" w:eastAsia="黑体"/>
          <w:b/>
          <w:sz w:val="24"/>
        </w:rPr>
      </w:pPr>
    </w:p>
    <w:p>
      <w:pPr>
        <w:spacing w:beforeLines="50" w:line="360" w:lineRule="auto"/>
        <w:ind w:firstLine="0" w:firstLineChars="0"/>
        <w:rPr>
          <w:rFonts w:hint="eastAsia" w:ascii="黑体" w:hAnsi="宋体" w:eastAsia="黑体"/>
          <w:b/>
          <w:sz w:val="24"/>
        </w:rPr>
      </w:pPr>
    </w:p>
    <w:p>
      <w:pPr>
        <w:spacing w:beforeLines="50" w:line="360" w:lineRule="auto"/>
        <w:ind w:firstLine="0" w:firstLineChars="0"/>
        <w:rPr>
          <w:rFonts w:hint="eastAsia" w:ascii="黑体" w:hAnsi="宋体" w:eastAsia="黑体"/>
          <w:b/>
          <w:sz w:val="24"/>
        </w:rPr>
      </w:pPr>
    </w:p>
    <w:p>
      <w:pPr>
        <w:spacing w:beforeLines="50" w:line="360" w:lineRule="auto"/>
        <w:ind w:firstLine="0" w:firstLineChars="0"/>
        <w:rPr>
          <w:rFonts w:hint="eastAsia" w:ascii="黑体" w:hAnsi="宋体" w:eastAsia="黑体"/>
          <w:b/>
          <w:sz w:val="24"/>
        </w:rPr>
      </w:pPr>
    </w:p>
    <w:p>
      <w:pPr>
        <w:spacing w:beforeLines="50" w:line="360" w:lineRule="auto"/>
        <w:ind w:firstLine="0" w:firstLineChars="0"/>
        <w:rPr>
          <w:rFonts w:hint="eastAsia" w:ascii="黑体" w:hAnsi="宋体" w:eastAsia="黑体"/>
          <w:b/>
          <w:sz w:val="24"/>
        </w:rPr>
      </w:pPr>
    </w:p>
    <w:p>
      <w:pPr>
        <w:spacing w:beforeLines="50" w:line="360" w:lineRule="auto"/>
        <w:ind w:firstLine="0" w:firstLineChars="0"/>
        <w:rPr>
          <w:rFonts w:hint="eastAsia" w:ascii="黑体" w:hAnsi="宋体" w:eastAsia="黑体"/>
          <w:b/>
          <w:sz w:val="24"/>
        </w:rPr>
      </w:pPr>
    </w:p>
    <w:p>
      <w:pPr>
        <w:spacing w:beforeLines="50" w:line="360" w:lineRule="auto"/>
        <w:ind w:firstLine="0" w:firstLineChars="0"/>
        <w:rPr>
          <w:rFonts w:hint="eastAsia" w:ascii="黑体" w:hAnsi="宋体" w:eastAsia="黑体"/>
          <w:b/>
          <w:sz w:val="24"/>
        </w:rPr>
      </w:pPr>
    </w:p>
    <w:p>
      <w:pPr>
        <w:spacing w:beforeLines="50" w:line="360" w:lineRule="auto"/>
        <w:ind w:firstLine="0" w:firstLineChars="0"/>
        <w:rPr>
          <w:rFonts w:hint="eastAsia" w:ascii="黑体" w:hAnsi="宋体" w:eastAsia="黑体"/>
          <w:b/>
          <w:sz w:val="24"/>
        </w:rPr>
      </w:pPr>
    </w:p>
    <w:p>
      <w:pPr>
        <w:spacing w:beforeLines="50" w:line="360" w:lineRule="auto"/>
        <w:ind w:firstLine="0" w:firstLineChars="0"/>
        <w:rPr>
          <w:rFonts w:hint="eastAsia" w:ascii="黑体" w:hAnsi="宋体" w:eastAsia="黑体"/>
          <w:b/>
          <w:sz w:val="24"/>
        </w:rPr>
      </w:pPr>
    </w:p>
    <w:p>
      <w:pPr>
        <w:spacing w:beforeLines="50" w:line="360" w:lineRule="auto"/>
        <w:ind w:firstLine="0" w:firstLineChars="0"/>
        <w:jc w:val="left"/>
        <w:rPr>
          <w:rFonts w:hint="eastAsia" w:ascii="黑体" w:hAnsi="宋体" w:eastAsia="黑体"/>
          <w:b/>
          <w:sz w:val="24"/>
        </w:rPr>
      </w:pPr>
    </w:p>
    <w:p>
      <w:pPr>
        <w:spacing w:beforeLines="50" w:line="360" w:lineRule="auto"/>
        <w:ind w:firstLine="0" w:firstLineChars="0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14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auto"/>
          </w:tcPr>
          <w:p>
            <w:pPr>
              <w:snapToGrid w:val="0"/>
              <w:spacing w:line="288" w:lineRule="auto"/>
              <w:ind w:left="0" w:leftChars="0" w:firstLine="0" w:firstLineChars="0"/>
              <w:jc w:val="both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  <w:p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</w:tcPr>
          <w:p>
            <w:pPr>
              <w:snapToGrid w:val="0"/>
              <w:spacing w:line="288" w:lineRule="auto"/>
              <w:ind w:left="0" w:leftChars="0" w:firstLine="0" w:firstLineChars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ind w:left="0" w:leftChars="0" w:firstLine="0" w:firstLineChars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ind w:left="0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学生能够主动自觉地通过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课堂学习以及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文献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检索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或参考书籍等方法，了解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目前珠宝玉石鉴定的学科发展和相关问题。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课堂讲解、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学生收集整理资料、完成报告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读书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>
            <w:pPr>
              <w:ind w:left="0" w:leftChars="0"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掌握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贵重宝石、普通宝石、常见玉石和有机宝石等约25种主要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珠宝玉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的基础宝石学性质和主要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鉴定特征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PPT讲解、实践操作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实验课仪器操作；实验报告册的完成质量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>
            <w:pPr>
              <w:ind w:left="0" w:leftChars="0"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常规宝石鉴定仪器的原理、结构、使用方法和操作注意事项，能够正确、熟练操作仪器。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PPT讲解、实践操作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实验课仪器操作；实验报告册的完成质量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>
            <w:pPr>
              <w:ind w:left="0" w:leftChars="0"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能够正确使用宝石鉴定仪器，对实验标本的品种、天然及合成、是否优化处理等问题进行鉴定，并对宝石正确命名。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ind w:left="0" w:leftChars="0" w:firstLine="0" w:firstLineChars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综合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实践操作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综合鉴定常见的珠宝玉石品种的能力；</w:t>
            </w:r>
          </w:p>
          <w:p>
            <w:pPr>
              <w:snapToGrid w:val="0"/>
              <w:spacing w:line="288" w:lineRule="auto"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实验报告册的完成质量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</w:tcPr>
          <w:p>
            <w:pPr>
              <w:ind w:left="0" w:leftChars="0" w:firstLine="0" w:firstLineChars="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343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利用各种仪器准确鉴别珠宝玉石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160分钟内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独立完成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常见珠宝玉石的鉴定。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综合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根据对所考查标本的鉴定依据、测试数据数据和宝石命名给出评价成绩。</w:t>
            </w:r>
          </w:p>
        </w:tc>
      </w:tr>
    </w:tbl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spacing w:line="360" w:lineRule="auto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  <w:lang w:eastAsia="zh-CN"/>
        </w:rPr>
        <w:t>六</w:t>
      </w:r>
      <w:r>
        <w:rPr>
          <w:rFonts w:hint="eastAsia" w:ascii="黑体" w:hAnsi="宋体" w:eastAsia="黑体"/>
          <w:b/>
          <w:sz w:val="24"/>
        </w:rPr>
        <w:t>、课程内容</w:t>
      </w: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总课时96，理论讲授32课时，实验课64课时。</w:t>
      </w: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第一章  常规宝石鉴定仪器（36学时）</w:t>
      </w:r>
    </w:p>
    <w:p>
      <w:pPr>
        <w:ind w:left="1155" w:hanging="1100" w:hangingChars="5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  1、折射仪、宝石显微镜、偏光仪等仪器的工作原理、结构、用途和使用注意事项</w:t>
      </w: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  2、宝石鉴定大型仪器的工作原理及宝石鉴定用途</w:t>
      </w: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第二章  贵重宝石的鉴定（14学时）</w:t>
      </w:r>
    </w:p>
    <w:p>
      <w:pPr>
        <w:rPr>
          <w:rFonts w:hint="eastAsia" w:ascii="宋体" w:hAnsi="宋体" w:eastAsia="宋体" w:cs="宋体"/>
          <w:sz w:val="20"/>
          <w:szCs w:val="20"/>
        </w:rPr>
      </w:pPr>
      <w:bookmarkStart w:id="5" w:name="OLE_LINK17"/>
      <w:r>
        <w:rPr>
          <w:rFonts w:hint="eastAsia" w:ascii="宋体" w:hAnsi="宋体" w:eastAsia="宋体" w:cs="宋体"/>
          <w:sz w:val="20"/>
          <w:szCs w:val="20"/>
        </w:rPr>
        <w:t xml:space="preserve">        1、红宝石、蓝宝石等</w:t>
      </w:r>
      <w:bookmarkEnd w:id="5"/>
      <w:r>
        <w:rPr>
          <w:rFonts w:hint="eastAsia" w:ascii="宋体" w:hAnsi="宋体" w:eastAsia="宋体" w:cs="宋体"/>
          <w:sz w:val="20"/>
          <w:szCs w:val="20"/>
        </w:rPr>
        <w:t>的优化处理方法、鉴定特征及其相似品的鉴定特征</w:t>
      </w:r>
    </w:p>
    <w:p>
      <w:pPr>
        <w:rPr>
          <w:rFonts w:hint="eastAsia" w:ascii="宋体" w:hAnsi="宋体" w:eastAsia="宋体" w:cs="宋体"/>
          <w:sz w:val="20"/>
          <w:szCs w:val="20"/>
        </w:rPr>
      </w:pPr>
      <w:bookmarkStart w:id="6" w:name="OLE_LINK11"/>
      <w:r>
        <w:rPr>
          <w:rFonts w:hint="eastAsia" w:ascii="宋体" w:hAnsi="宋体" w:eastAsia="宋体" w:cs="宋体"/>
          <w:sz w:val="20"/>
          <w:szCs w:val="20"/>
        </w:rPr>
        <w:t xml:space="preserve">        2、祖母绿、欧泊等的优化处理方法、鉴定特征及其相似品的鉴定特征</w:t>
      </w: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第三章  普通宝石的鉴定（12学时）</w:t>
      </w:r>
    </w:p>
    <w:p>
      <w:pPr>
        <w:ind w:left="1155" w:hanging="1100" w:hangingChars="550"/>
        <w:rPr>
          <w:rFonts w:hint="eastAsia" w:ascii="宋体" w:hAnsi="宋体" w:eastAsia="宋体" w:cs="宋体"/>
          <w:sz w:val="20"/>
          <w:szCs w:val="20"/>
        </w:rPr>
      </w:pPr>
      <w:bookmarkStart w:id="7" w:name="OLE_LINK33"/>
      <w:r>
        <w:rPr>
          <w:rFonts w:hint="eastAsia" w:ascii="宋体" w:hAnsi="宋体" w:eastAsia="宋体" w:cs="宋体"/>
          <w:sz w:val="20"/>
          <w:szCs w:val="20"/>
        </w:rPr>
        <w:t xml:space="preserve">        1、电气石、锆石、尖晶石、 橄榄石</w:t>
      </w:r>
      <w:bookmarkStart w:id="8" w:name="OLE_LINK25"/>
      <w:r>
        <w:rPr>
          <w:rFonts w:hint="eastAsia" w:ascii="宋体" w:hAnsi="宋体" w:eastAsia="宋体" w:cs="宋体"/>
          <w:sz w:val="20"/>
          <w:szCs w:val="20"/>
        </w:rPr>
        <w:t>等的基本性质、鉴定特征及其</w:t>
      </w:r>
      <w:bookmarkEnd w:id="7"/>
      <w:bookmarkEnd w:id="8"/>
      <w:r>
        <w:rPr>
          <w:rFonts w:hint="eastAsia" w:ascii="宋体" w:hAnsi="宋体" w:eastAsia="宋体" w:cs="宋体"/>
          <w:sz w:val="20"/>
          <w:szCs w:val="20"/>
        </w:rPr>
        <w:t>优化处理品的鉴定方法</w:t>
      </w:r>
      <w:bookmarkEnd w:id="6"/>
    </w:p>
    <w:p>
      <w:pPr>
        <w:ind w:left="1155" w:hanging="1100" w:hangingChars="5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  2、石榴石、长石、托帕石、海蓝宝石和石英族宝石的基本性质、鉴定特征及其优化处理品的鉴定方法。</w:t>
      </w: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第四章  常见玉石的鉴定（12学时）</w:t>
      </w:r>
      <w:bookmarkStart w:id="9" w:name="OLE_LINK27"/>
      <w:bookmarkStart w:id="10" w:name="OLE_LINK28"/>
      <w:bookmarkStart w:id="11" w:name="OLE_LINK29"/>
    </w:p>
    <w:p>
      <w:pPr>
        <w:ind w:left="1155" w:hanging="1100" w:hangingChars="5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  1、翡翠、软玉、石英质玉石、蛇纹石玉</w:t>
      </w:r>
      <w:bookmarkEnd w:id="9"/>
      <w:r>
        <w:rPr>
          <w:rFonts w:hint="eastAsia" w:ascii="宋体" w:hAnsi="宋体" w:eastAsia="宋体" w:cs="宋体"/>
          <w:sz w:val="20"/>
          <w:szCs w:val="20"/>
        </w:rPr>
        <w:t>等常见玉石的</w:t>
      </w:r>
      <w:bookmarkEnd w:id="10"/>
      <w:r>
        <w:rPr>
          <w:rFonts w:hint="eastAsia" w:ascii="宋体" w:hAnsi="宋体" w:eastAsia="宋体" w:cs="宋体"/>
          <w:sz w:val="20"/>
          <w:szCs w:val="20"/>
        </w:rPr>
        <w:t>基本性质、鉴定特征及其优化处理的方法及鉴定特征</w:t>
      </w:r>
    </w:p>
    <w:bookmarkEnd w:id="11"/>
    <w:p>
      <w:pPr>
        <w:ind w:left="1155" w:hanging="1100" w:hangingChars="5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  2、青金石、绿松石、独山玉、孔雀石和鸡血石等常见玉石的基本性质、鉴定特征及其优化处理的方法及鉴定特征</w:t>
      </w: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第五章  有机宝石的鉴定（6课时）</w:t>
      </w:r>
    </w:p>
    <w:p>
      <w:pPr>
        <w:rPr>
          <w:rFonts w:hint="eastAsia" w:ascii="宋体" w:hAnsi="宋体" w:eastAsia="宋体" w:cs="宋体"/>
          <w:sz w:val="20"/>
          <w:szCs w:val="20"/>
        </w:rPr>
      </w:pPr>
      <w:bookmarkStart w:id="12" w:name="OLE_LINK32"/>
      <w:r>
        <w:rPr>
          <w:rFonts w:hint="eastAsia" w:ascii="宋体" w:hAnsi="宋体" w:eastAsia="宋体" w:cs="宋体"/>
          <w:sz w:val="20"/>
          <w:szCs w:val="20"/>
        </w:rPr>
        <w:t xml:space="preserve">        1、珍珠、珊瑚的</w:t>
      </w:r>
      <w:bookmarkEnd w:id="12"/>
      <w:r>
        <w:rPr>
          <w:rFonts w:hint="eastAsia" w:ascii="宋体" w:hAnsi="宋体" w:eastAsia="宋体" w:cs="宋体"/>
          <w:sz w:val="20"/>
          <w:szCs w:val="20"/>
        </w:rPr>
        <w:t>优化处理方法、鉴定特征及其仿制品的鉴定特征</w:t>
      </w: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  2、琥珀、象牙的优化处理方法、鉴定特征及其仿制品的鉴定特征</w:t>
      </w: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第六章  稀有宝石（6课时）</w:t>
      </w:r>
    </w:p>
    <w:p>
      <w:pPr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第七章  未知宝石鉴定（8学时）；理论综合复习2课时。</w:t>
      </w:r>
    </w:p>
    <w:p>
      <w:pPr>
        <w:spacing w:beforeLines="50" w:afterLines="100" w:line="240" w:lineRule="auto"/>
        <w:ind w:firstLine="0" w:firstLineChars="0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  <w:lang w:eastAsia="zh-CN"/>
        </w:rPr>
        <w:t>七</w:t>
      </w:r>
      <w:r>
        <w:rPr>
          <w:rFonts w:hint="eastAsia" w:ascii="黑体" w:hAnsi="宋体" w:eastAsia="黑体"/>
          <w:b/>
          <w:sz w:val="24"/>
        </w:rPr>
        <w:t>. 课内实验名称及基本要求</w:t>
      </w:r>
    </w:p>
    <w:p>
      <w:pPr>
        <w:spacing w:afterLines="50"/>
        <w:ind w:firstLine="42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总课时96，理论讲授32课时，实验课64课时。</w:t>
      </w:r>
    </w:p>
    <w:tbl>
      <w:tblPr>
        <w:tblStyle w:val="6"/>
        <w:tblW w:w="841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701"/>
        <w:gridCol w:w="3685"/>
        <w:gridCol w:w="709"/>
        <w:gridCol w:w="1134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665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实验名称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76" w:lineRule="auto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实验时数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实验类型</w:t>
            </w:r>
          </w:p>
        </w:tc>
        <w:tc>
          <w:tcPr>
            <w:tcW w:w="520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宝石鉴定仪器操作</w:t>
            </w:r>
          </w:p>
        </w:tc>
        <w:tc>
          <w:tcPr>
            <w:tcW w:w="3685" w:type="dxa"/>
          </w:tcPr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折射仪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>
            <w:pPr>
              <w:spacing w:line="380" w:lineRule="exact"/>
              <w:ind w:firstLine="42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pacing w:line="380" w:lineRule="exact"/>
              <w:ind w:firstLine="42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80" w:lineRule="exact"/>
              <w:ind w:firstLine="42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685" w:type="dxa"/>
          </w:tcPr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分光镜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>
            <w:pPr>
              <w:spacing w:line="380" w:lineRule="exact"/>
              <w:ind w:firstLine="42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pacing w:line="380" w:lineRule="exact"/>
              <w:ind w:firstLine="42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80" w:lineRule="exact"/>
              <w:ind w:firstLine="42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685" w:type="dxa"/>
          </w:tcPr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宝石显微镜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>
            <w:pPr>
              <w:spacing w:line="380" w:lineRule="exact"/>
              <w:ind w:firstLine="42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pacing w:line="380" w:lineRule="exact"/>
              <w:ind w:firstLine="42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80" w:lineRule="exact"/>
              <w:ind w:firstLine="42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685" w:type="dxa"/>
          </w:tcPr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偏光仪、紫外灯、二色镜、</w:t>
            </w:r>
          </w:p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净水称重器、滤色镜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>
            <w:pPr>
              <w:spacing w:line="380" w:lineRule="exact"/>
              <w:ind w:firstLine="42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贵重宝石鉴定</w:t>
            </w:r>
          </w:p>
        </w:tc>
        <w:tc>
          <w:tcPr>
            <w:tcW w:w="3685" w:type="dxa"/>
          </w:tcPr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刚玉族宝石、绿柱石族宝石、</w:t>
            </w:r>
          </w:p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金绿宝石、欧泊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>
            <w:pPr>
              <w:spacing w:line="380" w:lineRule="exact"/>
              <w:ind w:firstLine="42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普通宝石鉴定</w:t>
            </w:r>
          </w:p>
        </w:tc>
        <w:tc>
          <w:tcPr>
            <w:tcW w:w="3685" w:type="dxa"/>
          </w:tcPr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石榴石、橄榄石、托帕石、电气石、</w:t>
            </w:r>
          </w:p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尖晶石、锆石、长石、石英族宝石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>
            <w:pPr>
              <w:spacing w:line="380" w:lineRule="exact"/>
              <w:ind w:firstLine="42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玉石鉴定</w:t>
            </w:r>
          </w:p>
        </w:tc>
        <w:tc>
          <w:tcPr>
            <w:tcW w:w="3685" w:type="dxa"/>
          </w:tcPr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翡翠、软玉、独山玉、青金石、</w:t>
            </w:r>
          </w:p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蛇纹岩玉、绿松石、孔雀石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>
            <w:pPr>
              <w:spacing w:line="380" w:lineRule="exact"/>
              <w:ind w:firstLine="42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有机宝石鉴定</w:t>
            </w:r>
          </w:p>
        </w:tc>
        <w:tc>
          <w:tcPr>
            <w:tcW w:w="3685" w:type="dxa"/>
          </w:tcPr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珍珠、珊瑚、琥珀、象牙、煤精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>
            <w:pPr>
              <w:spacing w:line="380" w:lineRule="exact"/>
              <w:ind w:firstLine="42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稀有宝石鉴定</w:t>
            </w:r>
          </w:p>
        </w:tc>
        <w:tc>
          <w:tcPr>
            <w:tcW w:w="3685" w:type="dxa"/>
          </w:tcPr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稀有宝石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>
            <w:pPr>
              <w:spacing w:line="380" w:lineRule="exact"/>
              <w:ind w:firstLine="42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综合鉴定</w:t>
            </w:r>
          </w:p>
        </w:tc>
        <w:tc>
          <w:tcPr>
            <w:tcW w:w="3685" w:type="dxa"/>
          </w:tcPr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未知宝石的鉴定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>
            <w:pPr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>
            <w:pPr>
              <w:spacing w:line="380" w:lineRule="exact"/>
              <w:ind w:firstLine="42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beforeLines="100" w:afterLines="50"/>
        <w:ind w:firstLine="0" w:firstLineChars="0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  <w:lang w:eastAsia="zh-CN"/>
        </w:rPr>
        <w:t>八</w:t>
      </w:r>
      <w:r>
        <w:rPr>
          <w:rFonts w:hint="eastAsia" w:ascii="黑体" w:hAnsi="宋体" w:eastAsia="黑体"/>
          <w:b/>
          <w:sz w:val="24"/>
        </w:rPr>
        <w:t>、评价方式与成绩</w:t>
      </w:r>
    </w:p>
    <w:tbl>
      <w:tblPr>
        <w:tblStyle w:val="6"/>
        <w:tblW w:w="7724" w:type="dxa"/>
        <w:jc w:val="center"/>
        <w:tblInd w:w="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1450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shd w:val="clear" w:color="auto" w:fill="auto"/>
          </w:tcPr>
          <w:p>
            <w:pPr>
              <w:snapToGrid w:val="0"/>
              <w:spacing w:beforeLines="50" w:afterLines="50" w:line="240" w:lineRule="auto"/>
              <w:ind w:firstLine="0" w:firstLineChars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总评构成</w:t>
            </w:r>
            <w:r>
              <w:rPr>
                <w:bCs/>
                <w:color w:val="000000"/>
                <w:szCs w:val="21"/>
              </w:rPr>
              <w:t>（1+X）</w:t>
            </w:r>
          </w:p>
        </w:tc>
        <w:tc>
          <w:tcPr>
            <w:tcW w:w="1450" w:type="dxa"/>
            <w:shd w:val="clear" w:color="auto" w:fill="auto"/>
          </w:tcPr>
          <w:p>
            <w:pPr>
              <w:snapToGrid w:val="0"/>
              <w:spacing w:beforeLines="50" w:afterLines="50" w:line="240" w:lineRule="auto"/>
              <w:ind w:firstLine="0" w:firstLineChars="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（1）</w:t>
            </w:r>
          </w:p>
        </w:tc>
        <w:tc>
          <w:tcPr>
            <w:tcW w:w="3828" w:type="dxa"/>
            <w:shd w:val="clear" w:color="auto" w:fill="auto"/>
          </w:tcPr>
          <w:p>
            <w:pPr>
              <w:snapToGrid w:val="0"/>
              <w:spacing w:beforeLines="50" w:afterLines="50" w:line="240" w:lineRule="auto"/>
              <w:ind w:firstLine="0" w:firstLineChars="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（X1、X2、X3、X</w:t>
            </w: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bCs/>
                <w:color w:val="000000"/>
                <w:szCs w:val="20"/>
              </w:rPr>
              <w:t>、X</w:t>
            </w: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bCs/>
                <w:color w:val="00000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shd w:val="clear" w:color="auto" w:fill="auto"/>
          </w:tcPr>
          <w:p>
            <w:pPr>
              <w:snapToGrid w:val="0"/>
              <w:spacing w:beforeLines="50" w:afterLines="50" w:line="240" w:lineRule="auto"/>
              <w:ind w:firstLine="0" w:firstLineChars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评价方式</w:t>
            </w:r>
          </w:p>
        </w:tc>
        <w:tc>
          <w:tcPr>
            <w:tcW w:w="1450" w:type="dxa"/>
            <w:shd w:val="clear" w:color="auto" w:fill="auto"/>
          </w:tcPr>
          <w:p>
            <w:pPr>
              <w:snapToGrid w:val="0"/>
              <w:spacing w:beforeLines="50" w:afterLines="50" w:line="240" w:lineRule="auto"/>
              <w:ind w:firstLine="0" w:firstLineChars="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3828" w:type="dxa"/>
            <w:shd w:val="clear" w:color="auto" w:fill="auto"/>
          </w:tcPr>
          <w:p>
            <w:pPr>
              <w:snapToGrid w:val="0"/>
              <w:spacing w:beforeLines="50" w:afterLines="50" w:line="240" w:lineRule="auto"/>
              <w:ind w:firstLine="0" w:firstLineChars="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课堂测试、课后作业等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shd w:val="clear" w:color="auto" w:fill="auto"/>
          </w:tcPr>
          <w:p>
            <w:pPr>
              <w:snapToGrid w:val="0"/>
              <w:spacing w:beforeLines="50" w:afterLines="50" w:line="240" w:lineRule="auto"/>
              <w:ind w:firstLine="0" w:firstLineChars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1与X两项所占比例%</w:t>
            </w:r>
          </w:p>
        </w:tc>
        <w:tc>
          <w:tcPr>
            <w:tcW w:w="1450" w:type="dxa"/>
            <w:shd w:val="clear" w:color="auto" w:fill="auto"/>
          </w:tcPr>
          <w:p>
            <w:pPr>
              <w:snapToGrid w:val="0"/>
              <w:spacing w:beforeLines="50" w:afterLines="50" w:line="240" w:lineRule="auto"/>
              <w:ind w:firstLine="0" w:firstLineChars="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60%</w:t>
            </w:r>
          </w:p>
        </w:tc>
        <w:tc>
          <w:tcPr>
            <w:tcW w:w="3828" w:type="dxa"/>
            <w:shd w:val="clear" w:color="auto" w:fill="auto"/>
          </w:tcPr>
          <w:p>
            <w:pPr>
              <w:snapToGrid w:val="0"/>
              <w:spacing w:beforeLines="50" w:afterLines="50" w:line="240" w:lineRule="auto"/>
              <w:ind w:firstLine="0" w:firstLineChars="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40%=X</w:t>
            </w:r>
            <w:r>
              <w:rPr>
                <w:bCs/>
                <w:color w:val="000000"/>
                <w:szCs w:val="20"/>
                <w:vertAlign w:val="subscript"/>
              </w:rPr>
              <w:t>1</w:t>
            </w:r>
            <w:r>
              <w:rPr>
                <w:bCs/>
                <w:sz w:val="20"/>
              </w:rPr>
              <w:t>×</w:t>
            </w: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hint="eastAsia"/>
                <w:bCs/>
                <w:color w:val="000000"/>
                <w:szCs w:val="20"/>
              </w:rPr>
              <w:t>0</w:t>
            </w:r>
            <w:r>
              <w:rPr>
                <w:bCs/>
                <w:color w:val="000000"/>
                <w:szCs w:val="20"/>
              </w:rPr>
              <w:t>%+X</w:t>
            </w:r>
            <w:r>
              <w:rPr>
                <w:bCs/>
                <w:color w:val="000000"/>
                <w:szCs w:val="20"/>
                <w:vertAlign w:val="subscript"/>
              </w:rPr>
              <w:t>2</w:t>
            </w:r>
            <w:r>
              <w:rPr>
                <w:bCs/>
                <w:sz w:val="20"/>
              </w:rPr>
              <w:t>×</w:t>
            </w:r>
            <w:r>
              <w:rPr>
                <w:bCs/>
                <w:color w:val="000000"/>
                <w:szCs w:val="20"/>
              </w:rPr>
              <w:t>5%+X</w:t>
            </w:r>
            <w:r>
              <w:rPr>
                <w:bCs/>
                <w:color w:val="000000"/>
                <w:szCs w:val="20"/>
                <w:vertAlign w:val="subscript"/>
              </w:rPr>
              <w:t>3</w:t>
            </w:r>
            <w:r>
              <w:rPr>
                <w:bCs/>
                <w:sz w:val="20"/>
              </w:rPr>
              <w:t>×</w:t>
            </w:r>
            <w:r>
              <w:rPr>
                <w:bCs/>
                <w:color w:val="000000"/>
                <w:szCs w:val="20"/>
              </w:rPr>
              <w:t>5%+X</w:t>
            </w:r>
            <w:r>
              <w:rPr>
                <w:rFonts w:hint="eastAsia"/>
                <w:bCs/>
                <w:color w:val="000000"/>
                <w:szCs w:val="20"/>
                <w:vertAlign w:val="subscript"/>
                <w:lang w:val="en-US" w:eastAsia="zh-CN"/>
              </w:rPr>
              <w:t>4</w:t>
            </w:r>
            <w:r>
              <w:rPr>
                <w:bCs/>
                <w:sz w:val="20"/>
              </w:rPr>
              <w:t>×</w:t>
            </w:r>
            <w:r>
              <w:rPr>
                <w:bCs/>
                <w:color w:val="000000"/>
                <w:szCs w:val="20"/>
              </w:rPr>
              <w:t>5%+X</w:t>
            </w:r>
            <w:r>
              <w:rPr>
                <w:rFonts w:hint="eastAsia"/>
                <w:bCs/>
                <w:color w:val="000000"/>
                <w:szCs w:val="20"/>
                <w:vertAlign w:val="subscript"/>
                <w:lang w:val="en-US" w:eastAsia="zh-CN"/>
              </w:rPr>
              <w:t>5</w:t>
            </w:r>
            <w:r>
              <w:rPr>
                <w:bCs/>
                <w:sz w:val="20"/>
              </w:rPr>
              <w:t>×</w:t>
            </w:r>
            <w:r>
              <w:rPr>
                <w:rFonts w:hint="eastAsia"/>
                <w:bCs/>
                <w:sz w:val="20"/>
                <w:lang w:val="en-US" w:eastAsia="zh-CN"/>
              </w:rPr>
              <w:t>1</w:t>
            </w:r>
            <w:r>
              <w:rPr>
                <w:bCs/>
                <w:color w:val="000000"/>
                <w:szCs w:val="20"/>
              </w:rPr>
              <w:t>5%</w:t>
            </w:r>
          </w:p>
        </w:tc>
      </w:tr>
    </w:tbl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jc w:val="both"/>
        <w:rPr>
          <w:rFonts w:hint="eastAsia"/>
        </w:rPr>
      </w:pPr>
    </w:p>
    <w:p>
      <w:pPr>
        <w:ind w:firstLine="1470" w:firstLineChars="700"/>
        <w:jc w:val="both"/>
      </w:pPr>
      <w:bookmarkStart w:id="13" w:name="_GoBack"/>
      <w:bookmarkEnd w:id="13"/>
      <w:r>
        <w:rPr>
          <w:rFonts w:hint="eastAsia"/>
        </w:rPr>
        <w:t>撰写：杜广鹏      系主任：</w:t>
      </w:r>
      <w:r>
        <w:rPr>
          <w:rFonts w:hint="eastAsia"/>
          <w:lang w:eastAsia="zh-CN"/>
        </w:rPr>
        <w:t>韩孝朕</w:t>
      </w:r>
      <w:r>
        <w:rPr>
          <w:rFonts w:hint="eastAsia"/>
        </w:rPr>
        <w:t xml:space="preserve">       教学院长：</w:t>
      </w:r>
      <w:r>
        <w:rPr>
          <w:rFonts w:hint="eastAsia"/>
          <w:lang w:eastAsia="zh-CN"/>
        </w:rPr>
        <w:t>朱玉</w:t>
      </w:r>
    </w:p>
    <w:p>
      <w:pPr>
        <w:wordWrap w:val="0"/>
        <w:ind w:right="420" w:firstLine="840" w:firstLineChars="400"/>
      </w:pPr>
      <w:r>
        <w:rPr>
          <w:rFonts w:hint="eastAsia"/>
        </w:rPr>
        <w:t xml:space="preserve">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361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3050A0304"/>
    <w:charset w:val="00"/>
    <w:family w:val="auto"/>
    <w:pitch w:val="default"/>
    <w:sig w:usb0="E0000287" w:usb1="40000013" w:usb2="00000000" w:usb3="00000000" w:csb0="2000019F" w:csb1="00000000"/>
  </w:font>
  <w:font w:name="Lucida Sans Unicode">
    <w:altName w:val="Segoe Print"/>
    <w:panose1 w:val="020B0602030504020204"/>
    <w:charset w:val="00"/>
    <w:family w:val="auto"/>
    <w:pitch w:val="default"/>
    <w:sig w:usb0="00000000" w:usb1="00000000" w:usb2="00000000" w:usb3="00000000" w:csb0="0000003F" w:csb1="D7F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5193"/>
    <w:multiLevelType w:val="singleLevel"/>
    <w:tmpl w:val="59AF519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682"/>
    <w:rsid w:val="00156471"/>
    <w:rsid w:val="001732D9"/>
    <w:rsid w:val="00174E3E"/>
    <w:rsid w:val="001B6E13"/>
    <w:rsid w:val="00202878"/>
    <w:rsid w:val="003663D6"/>
    <w:rsid w:val="003B2300"/>
    <w:rsid w:val="00411055"/>
    <w:rsid w:val="004162DA"/>
    <w:rsid w:val="00427D12"/>
    <w:rsid w:val="004F5E3C"/>
    <w:rsid w:val="006417FF"/>
    <w:rsid w:val="0076703F"/>
    <w:rsid w:val="00772E3C"/>
    <w:rsid w:val="007829B7"/>
    <w:rsid w:val="00791EC3"/>
    <w:rsid w:val="007D0902"/>
    <w:rsid w:val="00832A34"/>
    <w:rsid w:val="0087390F"/>
    <w:rsid w:val="008B0AFF"/>
    <w:rsid w:val="008C1684"/>
    <w:rsid w:val="0099745C"/>
    <w:rsid w:val="009976F4"/>
    <w:rsid w:val="00A50698"/>
    <w:rsid w:val="00A64201"/>
    <w:rsid w:val="00A75979"/>
    <w:rsid w:val="00AC7389"/>
    <w:rsid w:val="00B11FBD"/>
    <w:rsid w:val="00B67848"/>
    <w:rsid w:val="00C37682"/>
    <w:rsid w:val="00CD20B5"/>
    <w:rsid w:val="00D34721"/>
    <w:rsid w:val="00D62E4A"/>
    <w:rsid w:val="00DD51DA"/>
    <w:rsid w:val="00E26490"/>
    <w:rsid w:val="00F04E7A"/>
    <w:rsid w:val="00F55057"/>
    <w:rsid w:val="00FA5591"/>
    <w:rsid w:val="00FA65CC"/>
    <w:rsid w:val="00FF7224"/>
    <w:rsid w:val="1A5C1658"/>
    <w:rsid w:val="1C1F64B3"/>
    <w:rsid w:val="1E5323B2"/>
    <w:rsid w:val="1E7E6E34"/>
    <w:rsid w:val="3A2C3CD6"/>
    <w:rsid w:val="44FE0E37"/>
    <w:rsid w:val="47014354"/>
    <w:rsid w:val="4A055BEA"/>
    <w:rsid w:val="51041EB8"/>
    <w:rsid w:val="51C351C2"/>
    <w:rsid w:val="56EA68F8"/>
    <w:rsid w:val="57883CFE"/>
    <w:rsid w:val="5BFA40D7"/>
    <w:rsid w:val="5DF37239"/>
    <w:rsid w:val="5E7F00D8"/>
    <w:rsid w:val="662C4082"/>
    <w:rsid w:val="67F12299"/>
    <w:rsid w:val="680D5AA9"/>
    <w:rsid w:val="6A172B94"/>
    <w:rsid w:val="6ADB7CC6"/>
    <w:rsid w:val="70E66FF6"/>
    <w:rsid w:val="750F501B"/>
    <w:rsid w:val="7A0955CE"/>
    <w:rsid w:val="7D281E9F"/>
    <w:rsid w:val="7D4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after="240"/>
      <w:jc w:val="center"/>
      <w:outlineLvl w:val="0"/>
    </w:pPr>
    <w:rPr>
      <w:b/>
      <w:bCs/>
      <w:kern w:val="44"/>
      <w:sz w:val="28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33FDEE-B4E0-4577-9E72-EEC9A0DF2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216</Words>
  <Characters>1235</Characters>
  <Lines>10</Lines>
  <Paragraphs>2</Paragraphs>
  <ScaleCrop>false</ScaleCrop>
  <LinksUpToDate>false</LinksUpToDate>
  <CharactersWithSpaces>1449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2015-09-13T08:45:00Z</dcterms:created>
  <dc:creator>USER</dc:creator>
  <cp:lastModifiedBy>Administrator</cp:lastModifiedBy>
  <dcterms:modified xsi:type="dcterms:W3CDTF">2017-09-09T02:11:30Z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