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35B" w:rsidRPr="000D19DF" w:rsidRDefault="0020135B">
      <w:pPr>
        <w:snapToGrid w:val="0"/>
        <w:jc w:val="center"/>
        <w:rPr>
          <w:sz w:val="6"/>
          <w:szCs w:val="6"/>
        </w:rPr>
      </w:pPr>
    </w:p>
    <w:p w:rsidR="0020135B" w:rsidRPr="000D19DF" w:rsidRDefault="0020135B">
      <w:pPr>
        <w:snapToGrid w:val="0"/>
        <w:jc w:val="center"/>
        <w:rPr>
          <w:sz w:val="6"/>
          <w:szCs w:val="6"/>
        </w:rPr>
      </w:pPr>
    </w:p>
    <w:p w:rsidR="0020135B" w:rsidRPr="000D19DF" w:rsidRDefault="00320AE6">
      <w:pPr>
        <w:snapToGrid w:val="0"/>
        <w:spacing w:afterLines="50" w:after="120"/>
        <w:jc w:val="center"/>
        <w:rPr>
          <w:rFonts w:eastAsia="仿宋"/>
          <w:sz w:val="28"/>
          <w:szCs w:val="28"/>
          <w:lang w:eastAsia="zh-CN"/>
        </w:rPr>
      </w:pPr>
      <w:r w:rsidRPr="000D19DF">
        <w:rPr>
          <w:rFonts w:eastAsia="仿宋"/>
          <w:sz w:val="28"/>
          <w:szCs w:val="28"/>
          <w:lang w:eastAsia="zh-CN"/>
        </w:rPr>
        <w:t xml:space="preserve">Course plan </w:t>
      </w:r>
      <w:r w:rsidR="000D19DF" w:rsidRPr="000D19DF">
        <w:rPr>
          <w:rFonts w:eastAsia="仿宋"/>
          <w:sz w:val="28"/>
          <w:szCs w:val="28"/>
          <w:lang w:eastAsia="zh-CN"/>
        </w:rPr>
        <w:t xml:space="preserve">of Shanghai Jian </w:t>
      </w:r>
      <w:proofErr w:type="spellStart"/>
      <w:r w:rsidR="000D19DF" w:rsidRPr="000D19DF">
        <w:rPr>
          <w:rFonts w:eastAsia="仿宋"/>
          <w:sz w:val="28"/>
          <w:szCs w:val="28"/>
          <w:lang w:eastAsia="zh-CN"/>
        </w:rPr>
        <w:t>Qiao</w:t>
      </w:r>
      <w:proofErr w:type="spellEnd"/>
      <w:r w:rsidR="000D19DF" w:rsidRPr="000D19DF">
        <w:rPr>
          <w:rFonts w:eastAsia="仿宋"/>
          <w:sz w:val="28"/>
          <w:szCs w:val="28"/>
          <w:lang w:eastAsia="zh-CN"/>
        </w:rPr>
        <w:t xml:space="preserve"> University</w:t>
      </w:r>
    </w:p>
    <w:p w:rsidR="0020135B" w:rsidRPr="000D19DF" w:rsidRDefault="000D19DF" w:rsidP="0072774C">
      <w:pPr>
        <w:pStyle w:val="a8"/>
        <w:numPr>
          <w:ilvl w:val="0"/>
          <w:numId w:val="1"/>
        </w:numPr>
        <w:snapToGrid w:val="0"/>
        <w:spacing w:beforeLines="50" w:before="120" w:afterLines="50" w:after="12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B</w:t>
      </w:r>
      <w:r>
        <w:rPr>
          <w:rFonts w:eastAsia="仿宋"/>
          <w:b/>
          <w:color w:val="000000"/>
          <w:sz w:val="28"/>
          <w:szCs w:val="28"/>
          <w:lang w:eastAsia="zh-CN"/>
        </w:rPr>
        <w:t>asic information</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624"/>
        <w:gridCol w:w="1920"/>
        <w:gridCol w:w="2806"/>
      </w:tblGrid>
      <w:tr w:rsidR="0020135B" w:rsidRPr="000D19DF" w:rsidTr="00961C54">
        <w:trPr>
          <w:trHeight w:val="601"/>
        </w:trPr>
        <w:tc>
          <w:tcPr>
            <w:tcW w:w="2807"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bCs/>
                <w:color w:val="000000"/>
                <w:sz w:val="21"/>
                <w:szCs w:val="21"/>
                <w:lang w:eastAsia="zh-CN"/>
              </w:rPr>
              <w:t>Code</w:t>
            </w:r>
          </w:p>
        </w:tc>
        <w:tc>
          <w:tcPr>
            <w:tcW w:w="1624" w:type="dxa"/>
            <w:vAlign w:val="center"/>
          </w:tcPr>
          <w:p w:rsidR="0020135B" w:rsidRPr="008A07CD" w:rsidRDefault="00B61082">
            <w:pPr>
              <w:tabs>
                <w:tab w:val="left" w:pos="532"/>
              </w:tabs>
              <w:spacing w:line="340" w:lineRule="exact"/>
              <w:jc w:val="center"/>
              <w:rPr>
                <w:rFonts w:eastAsia="宋体"/>
                <w:sz w:val="21"/>
                <w:szCs w:val="21"/>
                <w:lang w:eastAsia="zh-CN"/>
              </w:rPr>
            </w:pPr>
            <w:r>
              <w:rPr>
                <w:szCs w:val="21"/>
              </w:rPr>
              <w:t>206053</w:t>
            </w:r>
            <w:r w:rsidR="004447FF">
              <w:rPr>
                <w:szCs w:val="21"/>
              </w:rPr>
              <w:t>3</w:t>
            </w:r>
          </w:p>
        </w:tc>
        <w:tc>
          <w:tcPr>
            <w:tcW w:w="1920" w:type="dxa"/>
            <w:vAlign w:val="center"/>
          </w:tcPr>
          <w:p w:rsidR="0020135B" w:rsidRPr="008A07CD" w:rsidRDefault="000D19DF">
            <w:pPr>
              <w:tabs>
                <w:tab w:val="left" w:pos="532"/>
              </w:tabs>
              <w:spacing w:line="340" w:lineRule="exact"/>
              <w:jc w:val="center"/>
              <w:rPr>
                <w:sz w:val="21"/>
                <w:szCs w:val="21"/>
                <w:lang w:eastAsia="zh-CN"/>
              </w:rPr>
            </w:pPr>
            <w:r w:rsidRPr="008A07CD">
              <w:rPr>
                <w:rFonts w:eastAsiaTheme="minorEastAsia"/>
                <w:sz w:val="21"/>
                <w:szCs w:val="21"/>
                <w:lang w:eastAsia="zh-CN"/>
              </w:rPr>
              <w:t>Name</w:t>
            </w:r>
          </w:p>
        </w:tc>
        <w:tc>
          <w:tcPr>
            <w:tcW w:w="2806" w:type="dxa"/>
            <w:vAlign w:val="center"/>
          </w:tcPr>
          <w:p w:rsidR="0020135B" w:rsidRPr="008A07CD" w:rsidRDefault="008A07CD">
            <w:pPr>
              <w:tabs>
                <w:tab w:val="left" w:pos="532"/>
              </w:tabs>
              <w:spacing w:line="340" w:lineRule="exact"/>
              <w:jc w:val="center"/>
              <w:rPr>
                <w:rFonts w:eastAsia="宋体"/>
                <w:sz w:val="21"/>
                <w:szCs w:val="21"/>
                <w:lang w:eastAsia="zh-CN"/>
              </w:rPr>
            </w:pPr>
            <w:r w:rsidRPr="008A07CD">
              <w:rPr>
                <w:rFonts w:eastAsia="宋体"/>
                <w:sz w:val="21"/>
                <w:szCs w:val="21"/>
                <w:lang w:eastAsia="zh-CN"/>
              </w:rPr>
              <w:t>WAN Yuan</w:t>
            </w:r>
          </w:p>
        </w:tc>
      </w:tr>
      <w:tr w:rsidR="0020135B" w:rsidRPr="000D19DF" w:rsidTr="00961C54">
        <w:trPr>
          <w:trHeight w:val="601"/>
        </w:trPr>
        <w:tc>
          <w:tcPr>
            <w:tcW w:w="2807" w:type="dxa"/>
            <w:vAlign w:val="center"/>
          </w:tcPr>
          <w:p w:rsidR="0020135B" w:rsidRPr="008A07CD" w:rsidRDefault="000D19DF">
            <w:pPr>
              <w:tabs>
                <w:tab w:val="left" w:pos="532"/>
              </w:tabs>
              <w:spacing w:line="340" w:lineRule="exact"/>
              <w:jc w:val="center"/>
              <w:rPr>
                <w:rFonts w:eastAsia="黑体"/>
                <w:sz w:val="21"/>
                <w:szCs w:val="21"/>
                <w:lang w:eastAsia="zh-CN"/>
              </w:rPr>
            </w:pPr>
            <w:r w:rsidRPr="008A07CD">
              <w:rPr>
                <w:rFonts w:eastAsia="黑体"/>
                <w:kern w:val="0"/>
                <w:sz w:val="21"/>
                <w:szCs w:val="21"/>
                <w:lang w:eastAsia="zh-CN"/>
              </w:rPr>
              <w:t>Credit</w:t>
            </w:r>
          </w:p>
        </w:tc>
        <w:tc>
          <w:tcPr>
            <w:tcW w:w="1624" w:type="dxa"/>
            <w:vAlign w:val="center"/>
          </w:tcPr>
          <w:p w:rsidR="0020135B" w:rsidRPr="008A07CD" w:rsidRDefault="004447FF">
            <w:pPr>
              <w:tabs>
                <w:tab w:val="left" w:pos="532"/>
              </w:tabs>
              <w:spacing w:line="340" w:lineRule="exact"/>
              <w:jc w:val="center"/>
              <w:rPr>
                <w:rFonts w:eastAsia="宋体"/>
                <w:sz w:val="21"/>
                <w:szCs w:val="21"/>
                <w:lang w:eastAsia="zh-CN"/>
              </w:rPr>
            </w:pPr>
            <w:r>
              <w:rPr>
                <w:rFonts w:eastAsia="宋体"/>
                <w:sz w:val="21"/>
                <w:szCs w:val="21"/>
                <w:lang w:eastAsia="zh-CN"/>
              </w:rPr>
              <w:t>4</w:t>
            </w:r>
          </w:p>
        </w:tc>
        <w:tc>
          <w:tcPr>
            <w:tcW w:w="1920"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bCs/>
                <w:color w:val="000000"/>
                <w:sz w:val="21"/>
                <w:szCs w:val="21"/>
                <w:lang w:eastAsia="zh-CN"/>
              </w:rPr>
              <w:t>Credit</w:t>
            </w:r>
          </w:p>
        </w:tc>
        <w:tc>
          <w:tcPr>
            <w:tcW w:w="2806" w:type="dxa"/>
            <w:vAlign w:val="center"/>
          </w:tcPr>
          <w:p w:rsidR="0020135B" w:rsidRPr="008A07CD" w:rsidRDefault="004447FF">
            <w:pPr>
              <w:tabs>
                <w:tab w:val="left" w:pos="532"/>
              </w:tabs>
              <w:spacing w:line="340" w:lineRule="exact"/>
              <w:jc w:val="center"/>
              <w:rPr>
                <w:rFonts w:eastAsia="宋体"/>
                <w:sz w:val="21"/>
                <w:szCs w:val="21"/>
                <w:lang w:eastAsia="zh-CN"/>
              </w:rPr>
            </w:pPr>
            <w:r>
              <w:rPr>
                <w:rFonts w:eastAsia="宋体"/>
                <w:sz w:val="21"/>
                <w:szCs w:val="21"/>
                <w:lang w:eastAsia="zh-CN"/>
              </w:rPr>
              <w:t>64</w:t>
            </w:r>
          </w:p>
        </w:tc>
      </w:tr>
      <w:tr w:rsidR="0020135B" w:rsidRPr="000D19DF" w:rsidTr="00961C54">
        <w:trPr>
          <w:trHeight w:val="601"/>
        </w:trPr>
        <w:tc>
          <w:tcPr>
            <w:tcW w:w="2807"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Name of lecturer</w:t>
            </w:r>
          </w:p>
        </w:tc>
        <w:tc>
          <w:tcPr>
            <w:tcW w:w="1624" w:type="dxa"/>
            <w:vAlign w:val="center"/>
          </w:tcPr>
          <w:p w:rsidR="0020135B" w:rsidRPr="008A07CD" w:rsidRDefault="008A07CD">
            <w:pPr>
              <w:tabs>
                <w:tab w:val="left" w:pos="532"/>
              </w:tabs>
              <w:spacing w:line="340" w:lineRule="exact"/>
              <w:jc w:val="center"/>
              <w:rPr>
                <w:rFonts w:eastAsia="宋体"/>
                <w:sz w:val="21"/>
                <w:szCs w:val="21"/>
                <w:lang w:eastAsia="zh-CN"/>
              </w:rPr>
            </w:pPr>
            <w:r>
              <w:rPr>
                <w:rFonts w:eastAsia="宋体" w:hint="eastAsia"/>
                <w:sz w:val="21"/>
                <w:szCs w:val="21"/>
                <w:lang w:eastAsia="zh-CN"/>
              </w:rPr>
              <w:t>WAN Yuan</w:t>
            </w:r>
          </w:p>
        </w:tc>
        <w:tc>
          <w:tcPr>
            <w:tcW w:w="1920" w:type="dxa"/>
            <w:vAlign w:val="center"/>
          </w:tcPr>
          <w:p w:rsidR="0020135B" w:rsidRPr="008A07CD" w:rsidRDefault="000D19DF">
            <w:pPr>
              <w:tabs>
                <w:tab w:val="left" w:pos="532"/>
              </w:tabs>
              <w:spacing w:line="340" w:lineRule="exact"/>
              <w:jc w:val="center"/>
              <w:rPr>
                <w:kern w:val="0"/>
                <w:sz w:val="21"/>
                <w:szCs w:val="21"/>
              </w:rPr>
            </w:pPr>
            <w:r w:rsidRPr="008A07CD">
              <w:rPr>
                <w:rFonts w:eastAsia="黑体"/>
                <w:kern w:val="0"/>
                <w:sz w:val="21"/>
                <w:szCs w:val="21"/>
                <w:lang w:eastAsia="zh-CN"/>
              </w:rPr>
              <w:t>E-mail of lecturer</w:t>
            </w:r>
          </w:p>
        </w:tc>
        <w:tc>
          <w:tcPr>
            <w:tcW w:w="2806" w:type="dxa"/>
            <w:vAlign w:val="center"/>
          </w:tcPr>
          <w:p w:rsidR="0020135B" w:rsidRPr="008A07CD" w:rsidRDefault="00B61082">
            <w:pPr>
              <w:tabs>
                <w:tab w:val="left" w:pos="532"/>
              </w:tabs>
              <w:spacing w:line="340" w:lineRule="exact"/>
              <w:rPr>
                <w:rFonts w:eastAsia="宋体"/>
                <w:sz w:val="21"/>
                <w:szCs w:val="21"/>
                <w:lang w:eastAsia="zh-CN"/>
              </w:rPr>
            </w:pPr>
            <w:r>
              <w:rPr>
                <w:rFonts w:eastAsia="宋体"/>
                <w:sz w:val="21"/>
                <w:szCs w:val="21"/>
                <w:lang w:eastAsia="zh-CN"/>
              </w:rPr>
              <w:t>wanyuan</w:t>
            </w:r>
            <w:r w:rsidR="008A07CD">
              <w:rPr>
                <w:rFonts w:eastAsia="宋体" w:hint="eastAsia"/>
                <w:sz w:val="21"/>
                <w:szCs w:val="21"/>
                <w:lang w:eastAsia="zh-CN"/>
              </w:rPr>
              <w:t>@genche.du.cn</w:t>
            </w:r>
          </w:p>
        </w:tc>
      </w:tr>
      <w:tr w:rsidR="0020135B" w:rsidRPr="000D19DF" w:rsidTr="00961C54">
        <w:trPr>
          <w:trHeight w:val="601"/>
        </w:trPr>
        <w:tc>
          <w:tcPr>
            <w:tcW w:w="2807"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sz w:val="21"/>
                <w:szCs w:val="21"/>
                <w:lang w:eastAsia="zh-CN"/>
              </w:rPr>
              <w:t>Class of students</w:t>
            </w:r>
          </w:p>
        </w:tc>
        <w:tc>
          <w:tcPr>
            <w:tcW w:w="1624" w:type="dxa"/>
            <w:vAlign w:val="center"/>
          </w:tcPr>
          <w:p w:rsidR="0020135B" w:rsidRPr="008A07CD" w:rsidRDefault="002644A0">
            <w:pPr>
              <w:tabs>
                <w:tab w:val="left" w:pos="532"/>
              </w:tabs>
              <w:spacing w:line="340" w:lineRule="exact"/>
              <w:rPr>
                <w:rFonts w:eastAsiaTheme="majorEastAsia"/>
                <w:color w:val="000000"/>
                <w:sz w:val="20"/>
                <w:szCs w:val="20"/>
                <w:lang w:eastAsia="zh-CN"/>
              </w:rPr>
            </w:pPr>
            <w:r>
              <w:rPr>
                <w:rFonts w:eastAsiaTheme="majorEastAsia" w:hint="eastAsia"/>
                <w:color w:val="000000"/>
                <w:sz w:val="20"/>
                <w:szCs w:val="20"/>
                <w:lang w:eastAsia="zh-CN"/>
              </w:rPr>
              <w:t>Luxury</w:t>
            </w:r>
            <w:r>
              <w:rPr>
                <w:rFonts w:eastAsiaTheme="majorEastAsia"/>
                <w:color w:val="000000"/>
                <w:sz w:val="20"/>
                <w:szCs w:val="20"/>
                <w:lang w:eastAsia="zh-CN"/>
              </w:rPr>
              <w:t xml:space="preserve"> management </w:t>
            </w:r>
            <w:r w:rsidR="00B61082">
              <w:rPr>
                <w:rFonts w:eastAsiaTheme="majorEastAsia"/>
                <w:color w:val="000000"/>
                <w:sz w:val="20"/>
                <w:szCs w:val="20"/>
                <w:lang w:eastAsia="zh-CN"/>
              </w:rPr>
              <w:t>17</w:t>
            </w:r>
          </w:p>
        </w:tc>
        <w:tc>
          <w:tcPr>
            <w:tcW w:w="1920" w:type="dxa"/>
            <w:vAlign w:val="center"/>
          </w:tcPr>
          <w:p w:rsidR="0020135B" w:rsidRPr="008A07CD" w:rsidRDefault="000D19DF">
            <w:pPr>
              <w:tabs>
                <w:tab w:val="left" w:pos="532"/>
              </w:tabs>
              <w:spacing w:line="340" w:lineRule="exact"/>
              <w:jc w:val="center"/>
              <w:rPr>
                <w:rFonts w:eastAsia="黑体"/>
                <w:kern w:val="0"/>
                <w:sz w:val="21"/>
                <w:szCs w:val="21"/>
              </w:rPr>
            </w:pPr>
            <w:r w:rsidRPr="008A07CD">
              <w:rPr>
                <w:rFonts w:eastAsia="黑体"/>
                <w:kern w:val="0"/>
                <w:sz w:val="21"/>
                <w:szCs w:val="21"/>
                <w:lang w:eastAsia="zh-CN"/>
              </w:rPr>
              <w:t>Classroom place</w:t>
            </w:r>
          </w:p>
        </w:tc>
        <w:tc>
          <w:tcPr>
            <w:tcW w:w="2806" w:type="dxa"/>
            <w:vAlign w:val="center"/>
          </w:tcPr>
          <w:p w:rsidR="008A07CD" w:rsidRPr="008A07CD" w:rsidRDefault="008A07CD" w:rsidP="00524E7C">
            <w:pPr>
              <w:tabs>
                <w:tab w:val="left" w:pos="532"/>
              </w:tabs>
              <w:spacing w:line="340" w:lineRule="exact"/>
              <w:jc w:val="center"/>
              <w:rPr>
                <w:rFonts w:eastAsia="宋体"/>
                <w:sz w:val="21"/>
                <w:szCs w:val="21"/>
                <w:lang w:eastAsia="zh-CN"/>
              </w:rPr>
            </w:pPr>
            <w:r>
              <w:rPr>
                <w:rFonts w:eastAsia="宋体"/>
                <w:sz w:val="21"/>
                <w:szCs w:val="21"/>
                <w:lang w:eastAsia="zh-CN"/>
              </w:rPr>
              <w:t xml:space="preserve">No. </w:t>
            </w:r>
            <w:r w:rsidR="00B47D0C">
              <w:rPr>
                <w:rFonts w:eastAsia="宋体"/>
                <w:sz w:val="21"/>
                <w:szCs w:val="21"/>
                <w:lang w:eastAsia="zh-CN"/>
              </w:rPr>
              <w:t>201</w:t>
            </w:r>
            <w:r>
              <w:rPr>
                <w:rFonts w:eastAsia="宋体"/>
                <w:sz w:val="21"/>
                <w:szCs w:val="21"/>
                <w:lang w:eastAsia="zh-CN"/>
              </w:rPr>
              <w:t xml:space="preserve">, Building </w:t>
            </w:r>
            <w:r w:rsidR="00B47D0C">
              <w:rPr>
                <w:rFonts w:eastAsia="宋体"/>
                <w:sz w:val="21"/>
                <w:szCs w:val="21"/>
                <w:lang w:eastAsia="zh-CN"/>
              </w:rPr>
              <w:t>2</w:t>
            </w:r>
          </w:p>
        </w:tc>
      </w:tr>
      <w:tr w:rsidR="0020135B" w:rsidRPr="000D19DF" w:rsidTr="00961C54">
        <w:trPr>
          <w:trHeight w:val="601"/>
        </w:trPr>
        <w:tc>
          <w:tcPr>
            <w:tcW w:w="2807" w:type="dxa"/>
            <w:vAlign w:val="center"/>
          </w:tcPr>
          <w:p w:rsidR="0020135B" w:rsidRPr="008A07CD" w:rsidRDefault="00E67EC9">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Time of answering question</w:t>
            </w:r>
          </w:p>
        </w:tc>
        <w:tc>
          <w:tcPr>
            <w:tcW w:w="6350" w:type="dxa"/>
            <w:gridSpan w:val="3"/>
            <w:vAlign w:val="center"/>
          </w:tcPr>
          <w:p w:rsidR="0020135B" w:rsidRPr="008A07CD" w:rsidRDefault="003458AD">
            <w:pPr>
              <w:tabs>
                <w:tab w:val="left" w:pos="532"/>
              </w:tabs>
              <w:spacing w:line="340" w:lineRule="exact"/>
              <w:rPr>
                <w:rFonts w:eastAsia="黑体"/>
                <w:kern w:val="0"/>
                <w:sz w:val="21"/>
                <w:szCs w:val="21"/>
                <w:lang w:eastAsia="zh-CN"/>
              </w:rPr>
            </w:pPr>
            <w:r>
              <w:rPr>
                <w:rFonts w:eastAsia="黑体"/>
                <w:kern w:val="0"/>
                <w:sz w:val="21"/>
                <w:szCs w:val="21"/>
                <w:lang w:eastAsia="zh-CN"/>
              </w:rPr>
              <w:t>12:00-1</w:t>
            </w:r>
            <w:r w:rsidR="00B61082">
              <w:rPr>
                <w:rFonts w:eastAsia="黑体"/>
                <w:kern w:val="0"/>
                <w:sz w:val="21"/>
                <w:szCs w:val="21"/>
                <w:lang w:eastAsia="zh-CN"/>
              </w:rPr>
              <w:t>3</w:t>
            </w:r>
            <w:r>
              <w:rPr>
                <w:rFonts w:eastAsia="黑体"/>
                <w:kern w:val="0"/>
                <w:sz w:val="21"/>
                <w:szCs w:val="21"/>
                <w:lang w:eastAsia="zh-CN"/>
              </w:rPr>
              <w:t xml:space="preserve">:00, </w:t>
            </w:r>
            <w:r w:rsidR="00B61082">
              <w:rPr>
                <w:rFonts w:eastAsia="黑体"/>
                <w:kern w:val="0"/>
                <w:sz w:val="21"/>
                <w:szCs w:val="21"/>
                <w:lang w:eastAsia="zh-CN"/>
              </w:rPr>
              <w:t>Thursday</w:t>
            </w:r>
          </w:p>
        </w:tc>
      </w:tr>
      <w:tr w:rsidR="0020135B" w:rsidRPr="000D19DF" w:rsidTr="00961C54">
        <w:trPr>
          <w:trHeight w:val="601"/>
        </w:trPr>
        <w:tc>
          <w:tcPr>
            <w:tcW w:w="2807" w:type="dxa"/>
            <w:vAlign w:val="center"/>
          </w:tcPr>
          <w:p w:rsidR="0020135B" w:rsidRPr="008A07CD" w:rsidRDefault="000D19DF">
            <w:pPr>
              <w:tabs>
                <w:tab w:val="left" w:pos="532"/>
              </w:tabs>
              <w:spacing w:line="340" w:lineRule="exact"/>
              <w:jc w:val="center"/>
              <w:rPr>
                <w:rFonts w:eastAsia="黑体"/>
                <w:kern w:val="0"/>
                <w:sz w:val="21"/>
                <w:szCs w:val="21"/>
                <w:lang w:eastAsia="zh-CN"/>
              </w:rPr>
            </w:pPr>
            <w:r w:rsidRPr="008A07CD">
              <w:rPr>
                <w:rFonts w:eastAsia="黑体"/>
                <w:kern w:val="0"/>
                <w:sz w:val="21"/>
                <w:szCs w:val="21"/>
                <w:lang w:eastAsia="zh-CN"/>
              </w:rPr>
              <w:t>Main studying material</w:t>
            </w:r>
          </w:p>
        </w:tc>
        <w:tc>
          <w:tcPr>
            <w:tcW w:w="6350" w:type="dxa"/>
            <w:gridSpan w:val="3"/>
            <w:vAlign w:val="center"/>
          </w:tcPr>
          <w:p w:rsidR="0020135B" w:rsidRPr="008A07CD" w:rsidRDefault="00B61082">
            <w:pPr>
              <w:tabs>
                <w:tab w:val="left" w:pos="532"/>
              </w:tabs>
              <w:spacing w:line="340" w:lineRule="exact"/>
              <w:rPr>
                <w:rFonts w:eastAsiaTheme="majorEastAsia"/>
                <w:kern w:val="0"/>
                <w:sz w:val="21"/>
                <w:szCs w:val="21"/>
                <w:lang w:eastAsia="zh-CN"/>
              </w:rPr>
            </w:pPr>
            <w:r w:rsidRPr="00B61082">
              <w:rPr>
                <w:rFonts w:eastAsiaTheme="majorEastAsia"/>
                <w:kern w:val="0"/>
                <w:sz w:val="21"/>
                <w:szCs w:val="21"/>
                <w:lang w:eastAsia="zh-CN"/>
              </w:rPr>
              <w:t>Self-made PowerPoint Slides (over 3000 pages)</w:t>
            </w:r>
          </w:p>
        </w:tc>
      </w:tr>
      <w:tr w:rsidR="0020135B" w:rsidRPr="000D19DF" w:rsidTr="00961C54">
        <w:trPr>
          <w:trHeight w:val="601"/>
        </w:trPr>
        <w:tc>
          <w:tcPr>
            <w:tcW w:w="2807" w:type="dxa"/>
            <w:vAlign w:val="center"/>
          </w:tcPr>
          <w:p w:rsidR="0020135B" w:rsidRPr="008A07CD" w:rsidRDefault="000D19DF" w:rsidP="000D19DF">
            <w:pPr>
              <w:tabs>
                <w:tab w:val="left" w:pos="532"/>
              </w:tabs>
              <w:spacing w:line="340" w:lineRule="exact"/>
              <w:rPr>
                <w:rFonts w:eastAsiaTheme="minorEastAsia"/>
                <w:kern w:val="0"/>
                <w:sz w:val="21"/>
                <w:szCs w:val="21"/>
                <w:lang w:eastAsia="zh-CN"/>
              </w:rPr>
            </w:pPr>
            <w:r w:rsidRPr="008A07CD">
              <w:rPr>
                <w:rFonts w:eastAsiaTheme="minorEastAsia"/>
                <w:kern w:val="0"/>
                <w:sz w:val="21"/>
                <w:szCs w:val="21"/>
                <w:lang w:eastAsia="zh-CN"/>
              </w:rPr>
              <w:t>Reference Studying material</w:t>
            </w:r>
          </w:p>
        </w:tc>
        <w:tc>
          <w:tcPr>
            <w:tcW w:w="6350" w:type="dxa"/>
            <w:gridSpan w:val="3"/>
            <w:vAlign w:val="center"/>
          </w:tcPr>
          <w:p w:rsidR="0020135B" w:rsidRDefault="007F7FD1">
            <w:pPr>
              <w:tabs>
                <w:tab w:val="left" w:pos="532"/>
              </w:tabs>
              <w:spacing w:line="340" w:lineRule="exact"/>
              <w:rPr>
                <w:rFonts w:eastAsiaTheme="majorEastAsia"/>
                <w:color w:val="000000"/>
                <w:sz w:val="20"/>
                <w:szCs w:val="20"/>
              </w:rPr>
            </w:pPr>
            <w:r>
              <w:rPr>
                <w:rFonts w:eastAsiaTheme="majorEastAsia"/>
                <w:color w:val="000000"/>
                <w:sz w:val="20"/>
                <w:szCs w:val="20"/>
              </w:rPr>
              <w:t>CFA institute Level 1 Economics</w:t>
            </w:r>
          </w:p>
          <w:p w:rsidR="007F7FD1" w:rsidRPr="008A07CD" w:rsidRDefault="007F7FD1">
            <w:pPr>
              <w:tabs>
                <w:tab w:val="left" w:pos="532"/>
              </w:tabs>
              <w:spacing w:line="340" w:lineRule="exact"/>
              <w:rPr>
                <w:rFonts w:eastAsiaTheme="majorEastAsia"/>
                <w:color w:val="000000"/>
                <w:sz w:val="20"/>
                <w:szCs w:val="20"/>
              </w:rPr>
            </w:pPr>
            <w:r>
              <w:rPr>
                <w:rFonts w:eastAsiaTheme="majorEastAsia" w:hint="eastAsia"/>
                <w:color w:val="000000"/>
                <w:sz w:val="20"/>
                <w:szCs w:val="20"/>
              </w:rPr>
              <w:t>西方经济学，</w:t>
            </w:r>
          </w:p>
        </w:tc>
      </w:tr>
    </w:tbl>
    <w:p w:rsidR="0020135B" w:rsidRPr="000D19DF" w:rsidRDefault="0020135B">
      <w:pPr>
        <w:snapToGrid w:val="0"/>
        <w:spacing w:line="340" w:lineRule="exact"/>
        <w:rPr>
          <w:rFonts w:eastAsia="宋体"/>
          <w:b/>
          <w:color w:val="000000"/>
          <w:szCs w:val="20"/>
          <w:lang w:eastAsia="zh-CN"/>
        </w:rPr>
      </w:pPr>
    </w:p>
    <w:p w:rsidR="0020135B" w:rsidRPr="000D19DF" w:rsidRDefault="000D19DF" w:rsidP="0072774C">
      <w:pPr>
        <w:pStyle w:val="a8"/>
        <w:numPr>
          <w:ilvl w:val="0"/>
          <w:numId w:val="1"/>
        </w:numPr>
        <w:snapToGrid w:val="0"/>
        <w:spacing w:beforeLines="50" w:before="120" w:afterLines="50" w:after="120"/>
        <w:ind w:left="357" w:firstLineChars="0" w:hanging="357"/>
        <w:jc w:val="both"/>
        <w:outlineLvl w:val="0"/>
        <w:rPr>
          <w:rFonts w:eastAsia="仿宋"/>
          <w:b/>
          <w:color w:val="000000"/>
          <w:sz w:val="28"/>
          <w:szCs w:val="28"/>
          <w:lang w:eastAsia="zh-CN"/>
        </w:rPr>
      </w:pPr>
      <w:r>
        <w:rPr>
          <w:rFonts w:eastAsia="仿宋"/>
          <w:b/>
          <w:color w:val="000000"/>
          <w:sz w:val="28"/>
          <w:szCs w:val="28"/>
          <w:lang w:eastAsia="zh-CN"/>
        </w:rPr>
        <w:t>Course time table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4"/>
        <w:gridCol w:w="5876"/>
      </w:tblGrid>
      <w:tr w:rsidR="007F7FD1" w:rsidRPr="005C3D5D" w:rsidTr="007F7FD1">
        <w:trPr>
          <w:trHeight w:val="867"/>
        </w:trPr>
        <w:tc>
          <w:tcPr>
            <w:tcW w:w="1469" w:type="pct"/>
          </w:tcPr>
          <w:p w:rsidR="007F7FD1" w:rsidRPr="005C3D5D" w:rsidRDefault="007F7FD1" w:rsidP="007F7FD1">
            <w:pPr>
              <w:pStyle w:val="TableParagraph"/>
              <w:spacing w:before="2"/>
              <w:ind w:left="0"/>
              <w:rPr>
                <w:rFonts w:ascii="Times New Roman" w:hAnsi="Times New Roman" w:cs="Times New Roman"/>
                <w:sz w:val="24"/>
              </w:rPr>
            </w:pPr>
            <w:bookmarkStart w:id="0" w:name="_Hlk18481023"/>
          </w:p>
        </w:tc>
        <w:tc>
          <w:tcPr>
            <w:tcW w:w="3531" w:type="pct"/>
          </w:tcPr>
          <w:p w:rsidR="007F7FD1" w:rsidRPr="005C3D5D" w:rsidRDefault="007F7FD1" w:rsidP="009C3D68">
            <w:pPr>
              <w:pStyle w:val="TableParagraph"/>
              <w:spacing w:before="2"/>
              <w:ind w:left="109"/>
              <w:rPr>
                <w:rFonts w:ascii="Times New Roman" w:hAnsi="Times New Roman" w:cs="Times New Roman"/>
                <w:sz w:val="24"/>
              </w:rPr>
            </w:pPr>
            <w:r w:rsidRPr="005C3D5D">
              <w:rPr>
                <w:rFonts w:ascii="Times New Roman" w:hAnsi="Times New Roman" w:cs="Times New Roman"/>
                <w:sz w:val="24"/>
              </w:rPr>
              <w:t>Topic</w:t>
            </w:r>
          </w:p>
        </w:tc>
      </w:tr>
      <w:tr w:rsidR="007F7FD1" w:rsidRPr="005C3D5D" w:rsidTr="007F7FD1">
        <w:trPr>
          <w:trHeight w:val="864"/>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1</w:t>
            </w:r>
          </w:p>
        </w:tc>
        <w:tc>
          <w:tcPr>
            <w:tcW w:w="3531" w:type="pct"/>
          </w:tcPr>
          <w:p w:rsidR="007F7FD1" w:rsidRPr="005C3D5D" w:rsidRDefault="007F7FD1" w:rsidP="009C3D68">
            <w:pPr>
              <w:pStyle w:val="TableParagraph"/>
              <w:spacing w:line="270" w:lineRule="atLeast"/>
              <w:ind w:left="109" w:right="1000"/>
              <w:rPr>
                <w:rFonts w:ascii="Times New Roman" w:hAnsi="Times New Roman" w:cs="Times New Roman"/>
                <w:sz w:val="24"/>
              </w:rPr>
            </w:pPr>
            <w:r w:rsidRPr="005C3D5D">
              <w:rPr>
                <w:rFonts w:ascii="Times New Roman" w:hAnsi="Times New Roman" w:cs="Times New Roman"/>
                <w:sz w:val="24"/>
              </w:rPr>
              <w:t>Course and syllabus / Unit 1 – Introduction to Economics</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2 – Key Principles of Economics</w:t>
            </w:r>
          </w:p>
        </w:tc>
      </w:tr>
      <w:tr w:rsidR="007F7FD1" w:rsidRPr="005C3D5D" w:rsidTr="007F7FD1">
        <w:trPr>
          <w:trHeight w:val="864"/>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2</w:t>
            </w:r>
          </w:p>
        </w:tc>
        <w:tc>
          <w:tcPr>
            <w:tcW w:w="3531" w:type="pct"/>
          </w:tcPr>
          <w:p w:rsidR="007F7FD1" w:rsidRPr="005C3D5D" w:rsidRDefault="007F7FD1" w:rsidP="009C3D68">
            <w:pPr>
              <w:pStyle w:val="TableParagraph"/>
              <w:spacing w:line="270" w:lineRule="atLeast"/>
              <w:ind w:left="109"/>
              <w:rPr>
                <w:rFonts w:ascii="Times New Roman" w:hAnsi="Times New Roman" w:cs="Times New Roman"/>
                <w:sz w:val="24"/>
              </w:rPr>
            </w:pPr>
            <w:r w:rsidRPr="005C3D5D">
              <w:rPr>
                <w:rFonts w:ascii="Times New Roman" w:hAnsi="Times New Roman" w:cs="Times New Roman"/>
                <w:sz w:val="24"/>
              </w:rPr>
              <w:t>Unit 3 – Demand, Supply, and Market Equilibrium</w:t>
            </w:r>
          </w:p>
        </w:tc>
      </w:tr>
      <w:tr w:rsidR="007F7FD1" w:rsidRPr="005C3D5D" w:rsidTr="007F7FD1">
        <w:trPr>
          <w:trHeight w:val="864"/>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70" w:lineRule="atLeast"/>
              <w:ind w:left="109"/>
              <w:rPr>
                <w:rFonts w:ascii="Times New Roman" w:hAnsi="Times New Roman" w:cs="Times New Roman"/>
                <w:sz w:val="24"/>
              </w:rPr>
            </w:pPr>
            <w:r w:rsidRPr="005C3D5D">
              <w:rPr>
                <w:rFonts w:ascii="Times New Roman" w:hAnsi="Times New Roman" w:cs="Times New Roman"/>
                <w:sz w:val="24"/>
              </w:rPr>
              <w:t>Unit 3 – Demand, Supply, and Market Equilibrium (</w:t>
            </w:r>
            <w:proofErr w:type="spellStart"/>
            <w:r w:rsidRPr="005C3D5D">
              <w:rPr>
                <w:rFonts w:ascii="Times New Roman" w:hAnsi="Times New Roman" w:cs="Times New Roman"/>
                <w:sz w:val="24"/>
              </w:rPr>
              <w:t>ct’d</w:t>
            </w:r>
            <w:proofErr w:type="spellEnd"/>
            <w:r w:rsidRPr="005C3D5D">
              <w:rPr>
                <w:rFonts w:ascii="Times New Roman" w:hAnsi="Times New Roman" w:cs="Times New Roman"/>
                <w:sz w:val="24"/>
              </w:rPr>
              <w:t>)</w:t>
            </w:r>
          </w:p>
        </w:tc>
      </w:tr>
      <w:tr w:rsidR="007F7FD1" w:rsidRPr="005C3D5D" w:rsidTr="007F7FD1">
        <w:trPr>
          <w:trHeight w:val="429"/>
        </w:trPr>
        <w:tc>
          <w:tcPr>
            <w:tcW w:w="1469" w:type="pct"/>
            <w:vMerge w:val="restart"/>
          </w:tcPr>
          <w:p w:rsidR="007F7FD1" w:rsidRPr="005C3D5D" w:rsidRDefault="007F7FD1" w:rsidP="009C3D68">
            <w:pPr>
              <w:pStyle w:val="TableParagraph"/>
              <w:spacing w:line="276" w:lineRule="exact"/>
              <w:rPr>
                <w:rFonts w:ascii="Times New Roman" w:hAnsi="Times New Roman" w:cs="Times New Roman"/>
                <w:sz w:val="24"/>
              </w:rPr>
            </w:pPr>
            <w:r w:rsidRPr="005C3D5D">
              <w:rPr>
                <w:rFonts w:ascii="Times New Roman" w:hAnsi="Times New Roman" w:cs="Times New Roman"/>
                <w:sz w:val="24"/>
              </w:rPr>
              <w:t>Week 3</w:t>
            </w: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4 – Elasticity</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4 – Elasticity (</w:t>
            </w:r>
            <w:proofErr w:type="spellStart"/>
            <w:r w:rsidRPr="005C3D5D">
              <w:rPr>
                <w:rFonts w:ascii="Times New Roman" w:hAnsi="Times New Roman" w:cs="Times New Roman"/>
                <w:sz w:val="24"/>
              </w:rPr>
              <w:t>ct’d</w:t>
            </w:r>
            <w:proofErr w:type="spellEnd"/>
            <w:r w:rsidRPr="005C3D5D">
              <w:rPr>
                <w:rFonts w:ascii="Times New Roman" w:hAnsi="Times New Roman" w:cs="Times New Roman"/>
                <w:sz w:val="24"/>
              </w:rPr>
              <w:t>)</w:t>
            </w:r>
          </w:p>
        </w:tc>
      </w:tr>
      <w:tr w:rsidR="007F7FD1" w:rsidRPr="005C3D5D" w:rsidTr="007F7FD1">
        <w:trPr>
          <w:trHeight w:val="436"/>
        </w:trPr>
        <w:tc>
          <w:tcPr>
            <w:tcW w:w="1469" w:type="pct"/>
            <w:vMerge w:val="restart"/>
          </w:tcPr>
          <w:p w:rsidR="007F7FD1" w:rsidRPr="005C3D5D" w:rsidRDefault="007F7FD1" w:rsidP="009C3D68">
            <w:pPr>
              <w:pStyle w:val="TableParagraph"/>
              <w:spacing w:before="3"/>
              <w:rPr>
                <w:rFonts w:ascii="Times New Roman" w:hAnsi="Times New Roman" w:cs="Times New Roman"/>
                <w:sz w:val="24"/>
              </w:rPr>
            </w:pPr>
            <w:r w:rsidRPr="005C3D5D">
              <w:rPr>
                <w:rFonts w:ascii="Times New Roman" w:hAnsi="Times New Roman" w:cs="Times New Roman"/>
                <w:sz w:val="24"/>
              </w:rPr>
              <w:t>Week 4</w:t>
            </w:r>
          </w:p>
        </w:tc>
        <w:tc>
          <w:tcPr>
            <w:tcW w:w="3531" w:type="pct"/>
          </w:tcPr>
          <w:p w:rsidR="007F7FD1" w:rsidRPr="005C3D5D" w:rsidRDefault="007F7FD1" w:rsidP="009C3D68">
            <w:pPr>
              <w:pStyle w:val="TableParagraph"/>
              <w:spacing w:before="3" w:line="255" w:lineRule="exact"/>
              <w:ind w:left="109"/>
              <w:rPr>
                <w:rFonts w:ascii="Times New Roman" w:hAnsi="Times New Roman" w:cs="Times New Roman"/>
                <w:sz w:val="24"/>
              </w:rPr>
            </w:pPr>
            <w:r w:rsidRPr="005C3D5D">
              <w:rPr>
                <w:rFonts w:ascii="Times New Roman" w:hAnsi="Times New Roman" w:cs="Times New Roman"/>
                <w:sz w:val="24"/>
              </w:rPr>
              <w:t>Unit 5 – Production and Costs</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5 – Production and Costs (</w:t>
            </w:r>
            <w:proofErr w:type="spellStart"/>
            <w:r w:rsidRPr="005C3D5D">
              <w:rPr>
                <w:rFonts w:ascii="Times New Roman" w:hAnsi="Times New Roman" w:cs="Times New Roman"/>
                <w:sz w:val="24"/>
              </w:rPr>
              <w:t>ct’d</w:t>
            </w:r>
            <w:proofErr w:type="spellEnd"/>
            <w:r w:rsidRPr="005C3D5D">
              <w:rPr>
                <w:rFonts w:ascii="Times New Roman" w:hAnsi="Times New Roman" w:cs="Times New Roman"/>
                <w:sz w:val="24"/>
              </w:rPr>
              <w:t>)</w:t>
            </w:r>
          </w:p>
        </w:tc>
      </w:tr>
      <w:tr w:rsidR="007F7FD1" w:rsidRPr="005C3D5D" w:rsidTr="007F7FD1">
        <w:trPr>
          <w:trHeight w:val="1297"/>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5</w:t>
            </w:r>
          </w:p>
        </w:tc>
        <w:tc>
          <w:tcPr>
            <w:tcW w:w="3531" w:type="pct"/>
          </w:tcPr>
          <w:p w:rsidR="007F7FD1" w:rsidRPr="005C3D5D" w:rsidRDefault="007F7FD1" w:rsidP="009C3D68">
            <w:pPr>
              <w:pStyle w:val="TableParagraph"/>
              <w:ind w:left="109"/>
              <w:rPr>
                <w:rFonts w:ascii="Times New Roman" w:hAnsi="Times New Roman" w:cs="Times New Roman"/>
                <w:sz w:val="24"/>
              </w:rPr>
            </w:pPr>
            <w:r w:rsidRPr="005C3D5D">
              <w:rPr>
                <w:rFonts w:ascii="Times New Roman" w:hAnsi="Times New Roman" w:cs="Times New Roman"/>
                <w:sz w:val="24"/>
              </w:rPr>
              <w:t>Unit 6 – Perfect Competition</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7 – Monopoly</w:t>
            </w:r>
          </w:p>
        </w:tc>
      </w:tr>
      <w:tr w:rsidR="007F7FD1" w:rsidRPr="005C3D5D" w:rsidTr="007F7FD1">
        <w:trPr>
          <w:trHeight w:val="864"/>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lastRenderedPageBreak/>
              <w:t>Week 6</w:t>
            </w:r>
          </w:p>
        </w:tc>
        <w:tc>
          <w:tcPr>
            <w:tcW w:w="3531" w:type="pct"/>
          </w:tcPr>
          <w:p w:rsidR="007F7FD1" w:rsidRPr="005C3D5D" w:rsidRDefault="007F7FD1" w:rsidP="009C3D68">
            <w:pPr>
              <w:pStyle w:val="TableParagraph"/>
              <w:spacing w:line="270" w:lineRule="atLeast"/>
              <w:ind w:left="109" w:right="93"/>
              <w:rPr>
                <w:rFonts w:ascii="Times New Roman" w:hAnsi="Times New Roman" w:cs="Times New Roman"/>
                <w:sz w:val="24"/>
              </w:rPr>
            </w:pPr>
            <w:r w:rsidRPr="005C3D5D">
              <w:rPr>
                <w:rFonts w:ascii="Times New Roman" w:hAnsi="Times New Roman" w:cs="Times New Roman"/>
                <w:sz w:val="24"/>
              </w:rPr>
              <w:t>Unit 8 – Monopolistic Competition, and Oligopoly</w:t>
            </w:r>
          </w:p>
        </w:tc>
      </w:tr>
      <w:tr w:rsidR="007F7FD1" w:rsidRPr="005C3D5D" w:rsidTr="007F7FD1">
        <w:trPr>
          <w:trHeight w:val="864"/>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70" w:lineRule="atLeast"/>
              <w:ind w:left="109" w:right="93"/>
              <w:rPr>
                <w:rFonts w:ascii="Times New Roman" w:hAnsi="Times New Roman" w:cs="Times New Roman"/>
                <w:sz w:val="24"/>
              </w:rPr>
            </w:pPr>
            <w:r w:rsidRPr="005C3D5D">
              <w:rPr>
                <w:rFonts w:ascii="Times New Roman" w:hAnsi="Times New Roman" w:cs="Times New Roman"/>
                <w:sz w:val="24"/>
              </w:rPr>
              <w:t>Unit 8 – Monopolistic Competition, and Oligopoly (</w:t>
            </w:r>
            <w:proofErr w:type="spellStart"/>
            <w:r w:rsidRPr="005C3D5D">
              <w:rPr>
                <w:rFonts w:ascii="Times New Roman" w:hAnsi="Times New Roman" w:cs="Times New Roman"/>
                <w:sz w:val="24"/>
              </w:rPr>
              <w:t>ct’d</w:t>
            </w:r>
            <w:proofErr w:type="spellEnd"/>
            <w:r w:rsidRPr="005C3D5D">
              <w:rPr>
                <w:rFonts w:ascii="Times New Roman" w:hAnsi="Times New Roman" w:cs="Times New Roman"/>
                <w:sz w:val="24"/>
              </w:rPr>
              <w:t>)</w:t>
            </w:r>
          </w:p>
        </w:tc>
      </w:tr>
      <w:tr w:rsidR="007F7FD1" w:rsidRPr="005C3D5D" w:rsidTr="007F7FD1">
        <w:trPr>
          <w:trHeight w:val="429"/>
        </w:trPr>
        <w:tc>
          <w:tcPr>
            <w:tcW w:w="1469" w:type="pct"/>
          </w:tcPr>
          <w:p w:rsidR="007F7FD1" w:rsidRPr="005C3D5D" w:rsidRDefault="007F7FD1" w:rsidP="009C3D68">
            <w:pPr>
              <w:pStyle w:val="TableParagraph"/>
              <w:spacing w:line="276" w:lineRule="exact"/>
              <w:rPr>
                <w:rFonts w:ascii="Times New Roman" w:hAnsi="Times New Roman" w:cs="Times New Roman"/>
                <w:sz w:val="24"/>
              </w:rPr>
            </w:pPr>
            <w:r w:rsidRPr="005C3D5D">
              <w:rPr>
                <w:rFonts w:ascii="Times New Roman" w:hAnsi="Times New Roman" w:cs="Times New Roman"/>
                <w:sz w:val="24"/>
              </w:rPr>
              <w:t>Week 7</w:t>
            </w:r>
          </w:p>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Mid-term Week</w:t>
            </w: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REVISION SESSION</w:t>
            </w:r>
          </w:p>
        </w:tc>
      </w:tr>
      <w:tr w:rsidR="007F7FD1" w:rsidRPr="005C3D5D" w:rsidTr="007F7FD1">
        <w:trPr>
          <w:trHeight w:val="866"/>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8</w:t>
            </w:r>
          </w:p>
        </w:tc>
        <w:tc>
          <w:tcPr>
            <w:tcW w:w="3531" w:type="pct"/>
          </w:tcPr>
          <w:p w:rsidR="007F7FD1" w:rsidRPr="005C3D5D" w:rsidRDefault="007F7FD1" w:rsidP="009C3D68">
            <w:pPr>
              <w:pStyle w:val="TableParagraph"/>
              <w:spacing w:line="270" w:lineRule="atLeast"/>
              <w:ind w:left="109" w:right="1307"/>
              <w:rPr>
                <w:rFonts w:ascii="Times New Roman" w:hAnsi="Times New Roman" w:cs="Times New Roman"/>
                <w:sz w:val="24"/>
              </w:rPr>
            </w:pPr>
            <w:r w:rsidRPr="005C3D5D">
              <w:rPr>
                <w:rFonts w:ascii="Times New Roman" w:hAnsi="Times New Roman" w:cs="Times New Roman"/>
                <w:sz w:val="24"/>
              </w:rPr>
              <w:t>Unit 9 – Market Failure and Externalities</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10 – Macroeconomics</w:t>
            </w:r>
          </w:p>
        </w:tc>
      </w:tr>
      <w:tr w:rsidR="007F7FD1" w:rsidRPr="005C3D5D" w:rsidTr="007F7FD1">
        <w:trPr>
          <w:trHeight w:val="431"/>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9</w:t>
            </w: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11 – Macroeconomic Indicators</w:t>
            </w:r>
          </w:p>
        </w:tc>
      </w:tr>
      <w:tr w:rsidR="007F7FD1" w:rsidRPr="005C3D5D" w:rsidTr="007F7FD1">
        <w:trPr>
          <w:trHeight w:val="431"/>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No class (work on the essay)</w:t>
            </w:r>
          </w:p>
        </w:tc>
      </w:tr>
      <w:tr w:rsidR="007F7FD1" w:rsidRPr="005C3D5D" w:rsidTr="007F7FD1">
        <w:trPr>
          <w:trHeight w:val="864"/>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10</w:t>
            </w:r>
          </w:p>
        </w:tc>
        <w:tc>
          <w:tcPr>
            <w:tcW w:w="3531" w:type="pct"/>
          </w:tcPr>
          <w:p w:rsidR="007F7FD1" w:rsidRPr="005C3D5D" w:rsidRDefault="007F7FD1" w:rsidP="009C3D68">
            <w:pPr>
              <w:pStyle w:val="TableParagraph"/>
              <w:ind w:left="109"/>
              <w:rPr>
                <w:rFonts w:ascii="Times New Roman" w:hAnsi="Times New Roman" w:cs="Times New Roman"/>
                <w:sz w:val="24"/>
              </w:rPr>
            </w:pPr>
            <w:r w:rsidRPr="005C3D5D">
              <w:rPr>
                <w:rFonts w:ascii="Times New Roman" w:hAnsi="Times New Roman" w:cs="Times New Roman"/>
                <w:sz w:val="24"/>
              </w:rPr>
              <w:t>Unit 12 – Unemployment and Inflation</w:t>
            </w:r>
          </w:p>
        </w:tc>
      </w:tr>
      <w:tr w:rsidR="007F7FD1" w:rsidRPr="005C3D5D" w:rsidTr="007F7FD1">
        <w:trPr>
          <w:trHeight w:val="867"/>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before="2" w:line="270" w:lineRule="atLeast"/>
              <w:ind w:left="109" w:right="186"/>
              <w:rPr>
                <w:rFonts w:ascii="Times New Roman" w:hAnsi="Times New Roman" w:cs="Times New Roman"/>
                <w:sz w:val="24"/>
              </w:rPr>
            </w:pPr>
            <w:r w:rsidRPr="005C3D5D">
              <w:rPr>
                <w:rFonts w:ascii="Times New Roman" w:hAnsi="Times New Roman" w:cs="Times New Roman"/>
                <w:sz w:val="24"/>
              </w:rPr>
              <w:t>Unit 12 – Unemployment and Inflation (</w:t>
            </w:r>
            <w:proofErr w:type="spellStart"/>
            <w:r w:rsidRPr="005C3D5D">
              <w:rPr>
                <w:rFonts w:ascii="Times New Roman" w:hAnsi="Times New Roman" w:cs="Times New Roman"/>
                <w:sz w:val="24"/>
              </w:rPr>
              <w:t>ct’d</w:t>
            </w:r>
            <w:proofErr w:type="spellEnd"/>
            <w:r w:rsidRPr="005C3D5D">
              <w:rPr>
                <w:rFonts w:ascii="Times New Roman" w:hAnsi="Times New Roman" w:cs="Times New Roman"/>
                <w:sz w:val="24"/>
              </w:rPr>
              <w:t>)</w:t>
            </w:r>
          </w:p>
        </w:tc>
      </w:tr>
      <w:tr w:rsidR="007F7FD1" w:rsidRPr="005C3D5D" w:rsidTr="007F7FD1">
        <w:trPr>
          <w:trHeight w:val="431"/>
        </w:trPr>
        <w:tc>
          <w:tcPr>
            <w:tcW w:w="1469" w:type="pct"/>
            <w:vMerge w:val="restart"/>
          </w:tcPr>
          <w:p w:rsidR="007F7FD1" w:rsidRPr="005C3D5D" w:rsidRDefault="007F7FD1" w:rsidP="009C3D68">
            <w:pPr>
              <w:pStyle w:val="TableParagraph"/>
              <w:rPr>
                <w:rFonts w:ascii="Times New Roman" w:hAnsi="Times New Roman" w:cs="Times New Roman"/>
                <w:sz w:val="24"/>
              </w:rPr>
            </w:pPr>
            <w:r w:rsidRPr="005C3D5D">
              <w:rPr>
                <w:rFonts w:ascii="Times New Roman" w:hAnsi="Times New Roman" w:cs="Times New Roman"/>
                <w:sz w:val="24"/>
              </w:rPr>
              <w:t>Week 11</w:t>
            </w:r>
          </w:p>
        </w:tc>
        <w:tc>
          <w:tcPr>
            <w:tcW w:w="3531" w:type="pct"/>
          </w:tcPr>
          <w:p w:rsidR="007F7FD1" w:rsidRPr="005C3D5D" w:rsidRDefault="007F7FD1" w:rsidP="009C3D68">
            <w:pPr>
              <w:pStyle w:val="TableParagraph"/>
              <w:spacing w:line="255" w:lineRule="exact"/>
              <w:ind w:left="109"/>
              <w:rPr>
                <w:rFonts w:ascii="Times New Roman" w:hAnsi="Times New Roman" w:cs="Times New Roman"/>
                <w:sz w:val="24"/>
              </w:rPr>
            </w:pPr>
            <w:r w:rsidRPr="005C3D5D">
              <w:rPr>
                <w:rFonts w:ascii="Times New Roman" w:hAnsi="Times New Roman" w:cs="Times New Roman"/>
                <w:sz w:val="24"/>
              </w:rPr>
              <w:t>Unit 13 – Economic Growth</w:t>
            </w:r>
          </w:p>
        </w:tc>
      </w:tr>
      <w:tr w:rsidR="007F7FD1" w:rsidRPr="005C3D5D" w:rsidTr="007F7FD1">
        <w:trPr>
          <w:trHeight w:val="872"/>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line="270" w:lineRule="atLeast"/>
              <w:ind w:left="109"/>
              <w:rPr>
                <w:rFonts w:ascii="Times New Roman" w:hAnsi="Times New Roman" w:cs="Times New Roman"/>
                <w:sz w:val="24"/>
              </w:rPr>
            </w:pPr>
            <w:r w:rsidRPr="005C3D5D">
              <w:rPr>
                <w:rFonts w:ascii="Times New Roman" w:hAnsi="Times New Roman" w:cs="Times New Roman"/>
                <w:sz w:val="24"/>
              </w:rPr>
              <w:t>Unit 14 – Aggregate Demand and Aggregate Supply</w:t>
            </w:r>
          </w:p>
        </w:tc>
      </w:tr>
      <w:tr w:rsidR="007F7FD1" w:rsidRPr="005C3D5D" w:rsidTr="007F7FD1">
        <w:trPr>
          <w:trHeight w:val="872"/>
        </w:trPr>
        <w:tc>
          <w:tcPr>
            <w:tcW w:w="1469" w:type="pct"/>
            <w:vMerge w:val="restart"/>
          </w:tcPr>
          <w:p w:rsidR="007F7FD1" w:rsidRPr="005C3D5D" w:rsidRDefault="007F7FD1" w:rsidP="009C3D68">
            <w:pPr>
              <w:pStyle w:val="TableParagraph"/>
              <w:spacing w:before="5"/>
              <w:rPr>
                <w:rFonts w:ascii="Times New Roman" w:hAnsi="Times New Roman" w:cs="Times New Roman"/>
                <w:sz w:val="24"/>
              </w:rPr>
            </w:pPr>
            <w:r w:rsidRPr="005C3D5D">
              <w:rPr>
                <w:rFonts w:ascii="Times New Roman" w:hAnsi="Times New Roman" w:cs="Times New Roman"/>
                <w:sz w:val="24"/>
              </w:rPr>
              <w:t>Week 12</w:t>
            </w:r>
          </w:p>
        </w:tc>
        <w:tc>
          <w:tcPr>
            <w:tcW w:w="3531" w:type="pct"/>
          </w:tcPr>
          <w:p w:rsidR="007F7FD1" w:rsidRPr="005C3D5D" w:rsidRDefault="007F7FD1" w:rsidP="009C3D68">
            <w:pPr>
              <w:pStyle w:val="TableParagraph"/>
              <w:spacing w:before="5"/>
              <w:ind w:left="109"/>
              <w:rPr>
                <w:rFonts w:ascii="Times New Roman" w:hAnsi="Times New Roman" w:cs="Times New Roman"/>
                <w:sz w:val="24"/>
              </w:rPr>
            </w:pPr>
            <w:r w:rsidRPr="005C3D5D">
              <w:rPr>
                <w:rFonts w:ascii="Times New Roman" w:hAnsi="Times New Roman" w:cs="Times New Roman"/>
                <w:sz w:val="24"/>
              </w:rPr>
              <w:t>Unit 15 – Fiscal Policy</w:t>
            </w:r>
          </w:p>
        </w:tc>
      </w:tr>
      <w:tr w:rsidR="007F7FD1" w:rsidRPr="005C3D5D" w:rsidTr="007F7FD1">
        <w:trPr>
          <w:trHeight w:val="863"/>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before="4" w:line="276" w:lineRule="exact"/>
              <w:ind w:left="109" w:right="652"/>
              <w:rPr>
                <w:rFonts w:ascii="Times New Roman" w:hAnsi="Times New Roman" w:cs="Times New Roman"/>
                <w:sz w:val="24"/>
              </w:rPr>
            </w:pPr>
            <w:r w:rsidRPr="005C3D5D">
              <w:rPr>
                <w:rFonts w:ascii="Times New Roman" w:hAnsi="Times New Roman" w:cs="Times New Roman"/>
                <w:sz w:val="24"/>
              </w:rPr>
              <w:t>Unit 16 – Money and the Banking System</w:t>
            </w:r>
          </w:p>
        </w:tc>
      </w:tr>
      <w:tr w:rsidR="007F7FD1" w:rsidRPr="005C3D5D" w:rsidTr="007F7FD1">
        <w:trPr>
          <w:trHeight w:val="856"/>
        </w:trPr>
        <w:tc>
          <w:tcPr>
            <w:tcW w:w="1469" w:type="pct"/>
            <w:vMerge w:val="restart"/>
          </w:tcPr>
          <w:p w:rsidR="007F7FD1" w:rsidRPr="005C3D5D" w:rsidRDefault="007F7FD1" w:rsidP="009C3D68">
            <w:pPr>
              <w:pStyle w:val="TableParagraph"/>
              <w:spacing w:line="271" w:lineRule="exact"/>
              <w:rPr>
                <w:rFonts w:ascii="Times New Roman" w:hAnsi="Times New Roman" w:cs="Times New Roman"/>
                <w:sz w:val="24"/>
              </w:rPr>
            </w:pPr>
            <w:r w:rsidRPr="005C3D5D">
              <w:rPr>
                <w:rFonts w:ascii="Times New Roman" w:hAnsi="Times New Roman" w:cs="Times New Roman"/>
                <w:sz w:val="24"/>
              </w:rPr>
              <w:t>Week 13</w:t>
            </w:r>
          </w:p>
        </w:tc>
        <w:tc>
          <w:tcPr>
            <w:tcW w:w="3531" w:type="pct"/>
          </w:tcPr>
          <w:p w:rsidR="007F7FD1" w:rsidRPr="005C3D5D" w:rsidRDefault="007F7FD1" w:rsidP="009C3D68">
            <w:pPr>
              <w:pStyle w:val="TableParagraph"/>
              <w:spacing w:line="271" w:lineRule="exact"/>
              <w:ind w:left="109"/>
              <w:rPr>
                <w:rFonts w:ascii="Times New Roman" w:hAnsi="Times New Roman" w:cs="Times New Roman"/>
                <w:sz w:val="24"/>
              </w:rPr>
            </w:pPr>
            <w:r w:rsidRPr="005C3D5D">
              <w:rPr>
                <w:rFonts w:ascii="Times New Roman" w:hAnsi="Times New Roman" w:cs="Times New Roman"/>
                <w:sz w:val="24"/>
              </w:rPr>
              <w:t>Unit 17 – Monetary Policy and Inflation</w:t>
            </w:r>
          </w:p>
        </w:tc>
      </w:tr>
      <w:tr w:rsidR="007F7FD1" w:rsidRPr="005C3D5D" w:rsidTr="007F7FD1">
        <w:trPr>
          <w:trHeight w:val="436"/>
        </w:trPr>
        <w:tc>
          <w:tcPr>
            <w:tcW w:w="1469" w:type="pct"/>
            <w:vMerge/>
            <w:tcBorders>
              <w:top w:val="nil"/>
            </w:tcBorders>
          </w:tcPr>
          <w:p w:rsidR="007F7FD1" w:rsidRPr="005C3D5D" w:rsidRDefault="007F7FD1" w:rsidP="009C3D68">
            <w:pPr>
              <w:rPr>
                <w:rFonts w:ascii="Times New Roman" w:hAnsi="Times New Roman" w:cs="Times New Roman"/>
                <w:sz w:val="2"/>
                <w:szCs w:val="2"/>
              </w:rPr>
            </w:pPr>
          </w:p>
        </w:tc>
        <w:tc>
          <w:tcPr>
            <w:tcW w:w="3531" w:type="pct"/>
          </w:tcPr>
          <w:p w:rsidR="007F7FD1" w:rsidRPr="005C3D5D" w:rsidRDefault="007F7FD1" w:rsidP="009C3D68">
            <w:pPr>
              <w:pStyle w:val="TableParagraph"/>
              <w:spacing w:before="2" w:line="255" w:lineRule="exact"/>
              <w:ind w:left="109"/>
              <w:rPr>
                <w:rFonts w:ascii="Times New Roman" w:hAnsi="Times New Roman" w:cs="Times New Roman"/>
                <w:sz w:val="24"/>
              </w:rPr>
            </w:pPr>
            <w:r w:rsidRPr="005C3D5D">
              <w:rPr>
                <w:rFonts w:ascii="Times New Roman" w:hAnsi="Times New Roman" w:cs="Times New Roman"/>
                <w:sz w:val="24"/>
              </w:rPr>
              <w:t>Unit 18 – International Trade and</w:t>
            </w:r>
          </w:p>
        </w:tc>
      </w:tr>
      <w:bookmarkEnd w:id="0"/>
    </w:tbl>
    <w:p w:rsidR="005C3D5D" w:rsidRDefault="005C3D5D" w:rsidP="005C3D5D">
      <w:pPr>
        <w:rPr>
          <w:sz w:val="20"/>
        </w:rPr>
        <w:sectPr w:rsidR="005C3D5D" w:rsidSect="00961C54">
          <w:pgSz w:w="11910" w:h="16840"/>
          <w:pgMar w:top="1440" w:right="1800" w:bottom="1440" w:left="1800" w:header="720" w:footer="720" w:gutter="0"/>
          <w:cols w:space="720"/>
          <w:docGrid w:linePitch="326"/>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4432"/>
        <w:gridCol w:w="1931"/>
      </w:tblGrid>
      <w:tr w:rsidR="00961C54" w:rsidTr="00961C54">
        <w:trPr>
          <w:trHeight w:val="316"/>
        </w:trPr>
        <w:tc>
          <w:tcPr>
            <w:tcW w:w="1923" w:type="dxa"/>
          </w:tcPr>
          <w:p w:rsidR="00961C54" w:rsidRPr="004447FF" w:rsidRDefault="00961C54" w:rsidP="009C3D68">
            <w:pPr>
              <w:pStyle w:val="TableParagraph"/>
              <w:ind w:left="0"/>
              <w:rPr>
                <w:rFonts w:ascii="Times New Roman" w:hAnsi="Times New Roman" w:cs="Times New Roman"/>
                <w:sz w:val="20"/>
              </w:rPr>
            </w:pPr>
          </w:p>
        </w:tc>
        <w:tc>
          <w:tcPr>
            <w:tcW w:w="4432" w:type="dxa"/>
          </w:tcPr>
          <w:p w:rsidR="00961C54" w:rsidRPr="004447FF" w:rsidRDefault="00961C54" w:rsidP="009C3D68">
            <w:pPr>
              <w:pStyle w:val="TableParagraph"/>
              <w:spacing w:line="258" w:lineRule="exact"/>
              <w:ind w:left="109"/>
              <w:rPr>
                <w:rFonts w:ascii="Times New Roman" w:hAnsi="Times New Roman" w:cs="Times New Roman"/>
                <w:sz w:val="24"/>
              </w:rPr>
            </w:pPr>
            <w:r w:rsidRPr="004447FF">
              <w:rPr>
                <w:rFonts w:ascii="Times New Roman" w:hAnsi="Times New Roman" w:cs="Times New Roman"/>
                <w:sz w:val="24"/>
              </w:rPr>
              <w:t>Finance</w:t>
            </w:r>
          </w:p>
        </w:tc>
        <w:tc>
          <w:tcPr>
            <w:tcW w:w="1931" w:type="dxa"/>
          </w:tcPr>
          <w:p w:rsidR="00961C54" w:rsidRPr="004447FF" w:rsidRDefault="00961C54" w:rsidP="009C3D68">
            <w:pPr>
              <w:pStyle w:val="TableParagraph"/>
              <w:ind w:left="0"/>
              <w:rPr>
                <w:rFonts w:ascii="Times New Roman" w:hAnsi="Times New Roman" w:cs="Times New Roman"/>
                <w:sz w:val="20"/>
              </w:rPr>
            </w:pPr>
          </w:p>
        </w:tc>
      </w:tr>
      <w:tr w:rsidR="00961C54" w:rsidTr="00961C54">
        <w:trPr>
          <w:trHeight w:val="630"/>
        </w:trPr>
        <w:tc>
          <w:tcPr>
            <w:tcW w:w="1923" w:type="dxa"/>
            <w:vMerge w:val="restart"/>
          </w:tcPr>
          <w:p w:rsidR="00961C54" w:rsidRPr="004447FF" w:rsidRDefault="00961C54" w:rsidP="009C3D68">
            <w:pPr>
              <w:pStyle w:val="TableParagraph"/>
              <w:spacing w:line="274" w:lineRule="exact"/>
              <w:rPr>
                <w:rFonts w:ascii="Times New Roman" w:hAnsi="Times New Roman" w:cs="Times New Roman"/>
                <w:sz w:val="24"/>
              </w:rPr>
            </w:pPr>
            <w:r w:rsidRPr="004447FF">
              <w:rPr>
                <w:rFonts w:ascii="Times New Roman" w:hAnsi="Times New Roman" w:cs="Times New Roman"/>
                <w:sz w:val="24"/>
              </w:rPr>
              <w:t>Week 14</w:t>
            </w:r>
          </w:p>
        </w:tc>
        <w:tc>
          <w:tcPr>
            <w:tcW w:w="4432" w:type="dxa"/>
          </w:tcPr>
          <w:p w:rsidR="00961C54" w:rsidRPr="004447FF" w:rsidRDefault="00961C54" w:rsidP="009C3D68">
            <w:pPr>
              <w:pStyle w:val="TableParagraph"/>
              <w:spacing w:before="2" w:line="276" w:lineRule="exact"/>
              <w:ind w:left="109"/>
              <w:rPr>
                <w:rFonts w:ascii="Times New Roman" w:hAnsi="Times New Roman" w:cs="Times New Roman"/>
                <w:sz w:val="24"/>
              </w:rPr>
            </w:pPr>
            <w:r w:rsidRPr="004447FF">
              <w:rPr>
                <w:rFonts w:ascii="Times New Roman" w:hAnsi="Times New Roman" w:cs="Times New Roman"/>
                <w:sz w:val="24"/>
              </w:rPr>
              <w:t>Unit 18 – International Trade and Finance (</w:t>
            </w:r>
            <w:proofErr w:type="spellStart"/>
            <w:r w:rsidRPr="004447FF">
              <w:rPr>
                <w:rFonts w:ascii="Times New Roman" w:hAnsi="Times New Roman" w:cs="Times New Roman"/>
                <w:sz w:val="24"/>
              </w:rPr>
              <w:t>ct’d</w:t>
            </w:r>
            <w:proofErr w:type="spellEnd"/>
            <w:r w:rsidRPr="004447FF">
              <w:rPr>
                <w:rFonts w:ascii="Times New Roman" w:hAnsi="Times New Roman" w:cs="Times New Roman"/>
                <w:sz w:val="24"/>
              </w:rPr>
              <w:t>)</w:t>
            </w:r>
          </w:p>
        </w:tc>
        <w:tc>
          <w:tcPr>
            <w:tcW w:w="1931" w:type="dxa"/>
          </w:tcPr>
          <w:p w:rsidR="00961C54" w:rsidRPr="004447FF" w:rsidRDefault="00961C54" w:rsidP="009C3D68">
            <w:pPr>
              <w:pStyle w:val="TableParagraph"/>
              <w:ind w:left="0"/>
              <w:rPr>
                <w:rFonts w:ascii="Times New Roman" w:hAnsi="Times New Roman" w:cs="Times New Roman"/>
                <w:sz w:val="24"/>
              </w:rPr>
            </w:pPr>
          </w:p>
        </w:tc>
      </w:tr>
      <w:tr w:rsidR="00961C54" w:rsidTr="00961C54">
        <w:trPr>
          <w:trHeight w:val="311"/>
        </w:trPr>
        <w:tc>
          <w:tcPr>
            <w:tcW w:w="1923" w:type="dxa"/>
            <w:vMerge/>
            <w:tcBorders>
              <w:top w:val="nil"/>
            </w:tcBorders>
          </w:tcPr>
          <w:p w:rsidR="00961C54" w:rsidRPr="004447FF" w:rsidRDefault="00961C54" w:rsidP="009C3D68">
            <w:pPr>
              <w:rPr>
                <w:rFonts w:ascii="Times New Roman" w:hAnsi="Times New Roman" w:cs="Times New Roman"/>
                <w:sz w:val="2"/>
                <w:szCs w:val="2"/>
              </w:rPr>
            </w:pPr>
          </w:p>
        </w:tc>
        <w:tc>
          <w:tcPr>
            <w:tcW w:w="4432" w:type="dxa"/>
          </w:tcPr>
          <w:p w:rsidR="00961C54" w:rsidRPr="004447FF" w:rsidRDefault="00961C54" w:rsidP="0071461A">
            <w:pPr>
              <w:pStyle w:val="TableParagraph"/>
              <w:spacing w:line="254" w:lineRule="exact"/>
              <w:rPr>
                <w:rFonts w:ascii="Times New Roman" w:hAnsi="Times New Roman" w:cs="Times New Roman"/>
                <w:sz w:val="24"/>
              </w:rPr>
            </w:pPr>
            <w:r w:rsidRPr="004447FF">
              <w:rPr>
                <w:rFonts w:ascii="Times New Roman" w:hAnsi="Times New Roman" w:cs="Times New Roman"/>
                <w:sz w:val="24"/>
              </w:rPr>
              <w:t>REVISION SESSION</w:t>
            </w:r>
          </w:p>
        </w:tc>
        <w:tc>
          <w:tcPr>
            <w:tcW w:w="1931" w:type="dxa"/>
          </w:tcPr>
          <w:p w:rsidR="00961C54" w:rsidRPr="004447FF" w:rsidRDefault="00961C54" w:rsidP="009C3D68">
            <w:pPr>
              <w:pStyle w:val="TableParagraph"/>
              <w:ind w:left="0"/>
              <w:rPr>
                <w:rFonts w:ascii="Times New Roman" w:hAnsi="Times New Roman" w:cs="Times New Roman"/>
                <w:sz w:val="20"/>
              </w:rPr>
            </w:pPr>
          </w:p>
        </w:tc>
      </w:tr>
      <w:tr w:rsidR="00961C54" w:rsidTr="00961C54">
        <w:trPr>
          <w:trHeight w:val="314"/>
        </w:trPr>
        <w:tc>
          <w:tcPr>
            <w:tcW w:w="1923" w:type="dxa"/>
          </w:tcPr>
          <w:p w:rsidR="00961C54" w:rsidRPr="004447FF" w:rsidRDefault="00961C54" w:rsidP="009C3D68">
            <w:pPr>
              <w:pStyle w:val="TableParagraph"/>
              <w:spacing w:line="256" w:lineRule="exact"/>
              <w:rPr>
                <w:rFonts w:ascii="Times New Roman" w:hAnsi="Times New Roman" w:cs="Times New Roman"/>
                <w:sz w:val="24"/>
              </w:rPr>
            </w:pPr>
            <w:r w:rsidRPr="004447FF">
              <w:rPr>
                <w:rFonts w:ascii="Times New Roman" w:hAnsi="Times New Roman" w:cs="Times New Roman"/>
                <w:sz w:val="24"/>
              </w:rPr>
              <w:t>Week 15</w:t>
            </w:r>
          </w:p>
        </w:tc>
        <w:tc>
          <w:tcPr>
            <w:tcW w:w="4432" w:type="dxa"/>
            <w:shd w:val="clear" w:color="auto" w:fill="auto"/>
          </w:tcPr>
          <w:p w:rsidR="00961C54" w:rsidRPr="004447FF" w:rsidRDefault="0071461A" w:rsidP="0071461A">
            <w:pPr>
              <w:pStyle w:val="TableParagraph"/>
              <w:spacing w:line="256" w:lineRule="exact"/>
              <w:ind w:left="0"/>
              <w:rPr>
                <w:rFonts w:ascii="Times New Roman" w:hAnsi="Times New Roman" w:cs="Times New Roman"/>
                <w:sz w:val="24"/>
              </w:rPr>
            </w:pPr>
            <w:r w:rsidRPr="004447FF">
              <w:rPr>
                <w:rFonts w:ascii="Times New Roman" w:hAnsi="Times New Roman" w:cs="Times New Roman"/>
                <w:sz w:val="24"/>
              </w:rPr>
              <w:t>REVISION SESSION</w:t>
            </w:r>
          </w:p>
        </w:tc>
        <w:tc>
          <w:tcPr>
            <w:tcW w:w="1931" w:type="dxa"/>
            <w:shd w:val="clear" w:color="auto" w:fill="auto"/>
          </w:tcPr>
          <w:p w:rsidR="00961C54" w:rsidRPr="004447FF" w:rsidRDefault="00961C54" w:rsidP="009C3D68">
            <w:pPr>
              <w:pStyle w:val="TableParagraph"/>
              <w:ind w:left="0"/>
              <w:rPr>
                <w:rFonts w:ascii="Times New Roman" w:hAnsi="Times New Roman" w:cs="Times New Roman"/>
                <w:sz w:val="20"/>
              </w:rPr>
            </w:pPr>
          </w:p>
        </w:tc>
      </w:tr>
      <w:tr w:rsidR="00961C54" w:rsidTr="00961C54">
        <w:trPr>
          <w:trHeight w:val="314"/>
        </w:trPr>
        <w:tc>
          <w:tcPr>
            <w:tcW w:w="1923" w:type="dxa"/>
          </w:tcPr>
          <w:p w:rsidR="00961C54" w:rsidRPr="004447FF" w:rsidRDefault="00961C54" w:rsidP="009C3D68">
            <w:pPr>
              <w:pStyle w:val="TableParagraph"/>
              <w:spacing w:line="256" w:lineRule="exact"/>
              <w:rPr>
                <w:rFonts w:ascii="Times New Roman" w:hAnsi="Times New Roman" w:cs="Times New Roman"/>
                <w:sz w:val="24"/>
              </w:rPr>
            </w:pPr>
            <w:r w:rsidRPr="004447FF">
              <w:rPr>
                <w:rFonts w:ascii="Times New Roman" w:hAnsi="Times New Roman" w:cs="Times New Roman"/>
                <w:sz w:val="24"/>
              </w:rPr>
              <w:t>Week 16</w:t>
            </w:r>
          </w:p>
        </w:tc>
        <w:tc>
          <w:tcPr>
            <w:tcW w:w="4432" w:type="dxa"/>
            <w:shd w:val="clear" w:color="auto" w:fill="auto"/>
          </w:tcPr>
          <w:p w:rsidR="00961C54" w:rsidRPr="004447FF" w:rsidRDefault="0071461A" w:rsidP="009C3D68">
            <w:pPr>
              <w:pStyle w:val="TableParagraph"/>
              <w:spacing w:line="256" w:lineRule="exact"/>
              <w:ind w:left="109"/>
              <w:rPr>
                <w:rFonts w:ascii="Times New Roman" w:eastAsiaTheme="minorEastAsia" w:hAnsi="Times New Roman" w:cs="Times New Roman"/>
                <w:color w:val="000000" w:themeColor="text1"/>
                <w:sz w:val="24"/>
                <w:lang w:eastAsia="zh-CN"/>
              </w:rPr>
            </w:pPr>
            <w:r w:rsidRPr="004447FF">
              <w:rPr>
                <w:rFonts w:ascii="Times New Roman" w:eastAsiaTheme="minorEastAsia" w:hAnsi="Times New Roman" w:cs="Times New Roman"/>
                <w:color w:val="000000" w:themeColor="text1"/>
                <w:sz w:val="24"/>
                <w:lang w:eastAsia="zh-CN"/>
              </w:rPr>
              <w:t>Final exam and presentation</w:t>
            </w:r>
          </w:p>
        </w:tc>
        <w:tc>
          <w:tcPr>
            <w:tcW w:w="1931" w:type="dxa"/>
            <w:shd w:val="clear" w:color="auto" w:fill="auto"/>
          </w:tcPr>
          <w:p w:rsidR="00961C54" w:rsidRPr="004447FF" w:rsidRDefault="00961C54" w:rsidP="009C3D68">
            <w:pPr>
              <w:pStyle w:val="TableParagraph"/>
              <w:ind w:left="0"/>
              <w:rPr>
                <w:rFonts w:ascii="Times New Roman" w:hAnsi="Times New Roman" w:cs="Times New Roman"/>
                <w:sz w:val="20"/>
              </w:rPr>
            </w:pPr>
          </w:p>
        </w:tc>
      </w:tr>
    </w:tbl>
    <w:p w:rsidR="0020135B" w:rsidRPr="000D19DF" w:rsidRDefault="0020135B">
      <w:pPr>
        <w:snapToGrid w:val="0"/>
        <w:jc w:val="both"/>
        <w:rPr>
          <w:rFonts w:eastAsia="仿宋"/>
          <w:b/>
          <w:color w:val="000000"/>
          <w:sz w:val="28"/>
          <w:szCs w:val="28"/>
          <w:lang w:eastAsia="zh-CN"/>
        </w:rPr>
      </w:pPr>
    </w:p>
    <w:p w:rsidR="0020135B" w:rsidRPr="000D19DF" w:rsidRDefault="000D19DF" w:rsidP="0072774C">
      <w:pPr>
        <w:pStyle w:val="a8"/>
        <w:numPr>
          <w:ilvl w:val="0"/>
          <w:numId w:val="1"/>
        </w:numPr>
        <w:snapToGrid w:val="0"/>
        <w:spacing w:beforeLines="50" w:before="180" w:afterLines="50" w:after="180"/>
        <w:ind w:left="357" w:firstLineChars="0" w:hanging="357"/>
        <w:jc w:val="both"/>
        <w:outlineLvl w:val="0"/>
        <w:rPr>
          <w:rFonts w:eastAsia="仿宋"/>
          <w:b/>
          <w:color w:val="000000"/>
          <w:sz w:val="28"/>
          <w:szCs w:val="28"/>
          <w:lang w:eastAsia="zh-CN"/>
        </w:rPr>
      </w:pPr>
      <w:r>
        <w:rPr>
          <w:rFonts w:eastAsia="仿宋" w:hint="eastAsia"/>
          <w:b/>
          <w:color w:val="000000"/>
          <w:sz w:val="28"/>
          <w:szCs w:val="28"/>
          <w:lang w:eastAsia="zh-CN"/>
        </w:rPr>
        <w:t>E</w:t>
      </w:r>
      <w:r>
        <w:rPr>
          <w:rFonts w:eastAsia="仿宋"/>
          <w:b/>
          <w:color w:val="000000"/>
          <w:sz w:val="28"/>
          <w:szCs w:val="28"/>
          <w:lang w:eastAsia="zh-CN"/>
        </w:rPr>
        <w:t>valuation methods and percentage</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tblGrid>
      <w:tr w:rsidR="005C3D5D" w:rsidRPr="000D19DF" w:rsidTr="00460257">
        <w:tc>
          <w:tcPr>
            <w:tcW w:w="2660" w:type="dxa"/>
            <w:shd w:val="clear" w:color="auto" w:fill="auto"/>
            <w:vAlign w:val="center"/>
          </w:tcPr>
          <w:p w:rsidR="005C3D5D" w:rsidRPr="00056ECA" w:rsidRDefault="005C3D5D" w:rsidP="005C3D5D">
            <w:pPr>
              <w:snapToGrid w:val="0"/>
              <w:spacing w:beforeLines="50" w:before="180" w:afterLines="50" w:after="180"/>
              <w:jc w:val="center"/>
              <w:rPr>
                <w:b/>
                <w:color w:val="000000"/>
                <w:szCs w:val="21"/>
              </w:rPr>
            </w:pPr>
            <w:r w:rsidRPr="00056ECA">
              <w:rPr>
                <w:rFonts w:hint="eastAsia"/>
                <w:b/>
                <w:color w:val="000000"/>
                <w:szCs w:val="21"/>
              </w:rPr>
              <w:t>R</w:t>
            </w:r>
            <w:r w:rsidRPr="00056ECA">
              <w:rPr>
                <w:b/>
                <w:color w:val="000000"/>
                <w:szCs w:val="21"/>
              </w:rPr>
              <w:t>ating composition</w:t>
            </w:r>
            <w:r w:rsidRPr="00056ECA">
              <w:rPr>
                <w:b/>
                <w:color w:val="000000"/>
                <w:szCs w:val="21"/>
              </w:rPr>
              <w:t>（</w:t>
            </w:r>
            <w:r w:rsidRPr="00056ECA">
              <w:rPr>
                <w:b/>
                <w:color w:val="000000"/>
                <w:szCs w:val="21"/>
              </w:rPr>
              <w:t>1+X</w:t>
            </w:r>
            <w:r w:rsidRPr="00056ECA">
              <w:rPr>
                <w:b/>
                <w:color w:val="000000"/>
                <w:szCs w:val="21"/>
              </w:rPr>
              <w:t>）</w:t>
            </w:r>
          </w:p>
        </w:tc>
        <w:tc>
          <w:tcPr>
            <w:tcW w:w="4819" w:type="dxa"/>
            <w:shd w:val="clear" w:color="auto" w:fill="auto"/>
            <w:vAlign w:val="center"/>
          </w:tcPr>
          <w:p w:rsidR="005C3D5D" w:rsidRPr="00056ECA" w:rsidRDefault="005C3D5D" w:rsidP="005C3D5D">
            <w:pPr>
              <w:snapToGrid w:val="0"/>
              <w:spacing w:beforeLines="50" w:before="180" w:afterLines="50" w:after="180"/>
              <w:jc w:val="center"/>
              <w:rPr>
                <w:b/>
                <w:color w:val="000000"/>
                <w:szCs w:val="21"/>
              </w:rPr>
            </w:pPr>
            <w:r w:rsidRPr="00056ECA">
              <w:rPr>
                <w:b/>
                <w:color w:val="000000"/>
                <w:szCs w:val="21"/>
              </w:rPr>
              <w:t>Evaluation methods</w:t>
            </w:r>
          </w:p>
        </w:tc>
        <w:tc>
          <w:tcPr>
            <w:tcW w:w="1560" w:type="dxa"/>
            <w:shd w:val="clear" w:color="auto" w:fill="auto"/>
            <w:vAlign w:val="center"/>
          </w:tcPr>
          <w:p w:rsidR="005C3D5D" w:rsidRPr="00056ECA" w:rsidRDefault="005C3D5D" w:rsidP="005C3D5D">
            <w:pPr>
              <w:snapToGrid w:val="0"/>
              <w:spacing w:beforeLines="50" w:before="180" w:afterLines="50" w:after="180"/>
              <w:jc w:val="center"/>
              <w:rPr>
                <w:b/>
                <w:color w:val="000000"/>
                <w:szCs w:val="21"/>
              </w:rPr>
            </w:pPr>
            <w:r w:rsidRPr="00056ECA">
              <w:rPr>
                <w:rFonts w:hint="eastAsia"/>
                <w:b/>
                <w:color w:val="000000"/>
                <w:szCs w:val="21"/>
              </w:rPr>
              <w:t>P</w:t>
            </w:r>
            <w:r w:rsidRPr="00056ECA">
              <w:rPr>
                <w:b/>
                <w:color w:val="000000"/>
                <w:szCs w:val="21"/>
              </w:rPr>
              <w:t>ercentage</w:t>
            </w:r>
          </w:p>
        </w:tc>
      </w:tr>
      <w:tr w:rsidR="005C3D5D" w:rsidRPr="000D19DF" w:rsidTr="00E210C4">
        <w:tc>
          <w:tcPr>
            <w:tcW w:w="2660"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X1</w:t>
            </w:r>
          </w:p>
        </w:tc>
        <w:tc>
          <w:tcPr>
            <w:tcW w:w="4819"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Quiz Exam</w:t>
            </w:r>
          </w:p>
        </w:tc>
        <w:tc>
          <w:tcPr>
            <w:tcW w:w="1560"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5C3D5D" w:rsidRPr="000D19DF" w:rsidTr="00E210C4">
        <w:tc>
          <w:tcPr>
            <w:tcW w:w="2660" w:type="dxa"/>
            <w:shd w:val="clear" w:color="auto" w:fill="auto"/>
          </w:tcPr>
          <w:p w:rsidR="005C3D5D" w:rsidRPr="00AC21A3" w:rsidRDefault="005C3D5D" w:rsidP="005C3D5D">
            <w:pPr>
              <w:snapToGrid w:val="0"/>
              <w:spacing w:beforeLines="50" w:before="180" w:afterLines="50" w:after="180"/>
              <w:jc w:val="center"/>
              <w:rPr>
                <w:bCs/>
                <w:color w:val="000000"/>
                <w:szCs w:val="21"/>
              </w:rPr>
            </w:pPr>
            <w:r w:rsidRPr="00AC21A3">
              <w:rPr>
                <w:bCs/>
                <w:color w:val="000000"/>
                <w:szCs w:val="21"/>
              </w:rPr>
              <w:t>X</w:t>
            </w:r>
            <w:r>
              <w:rPr>
                <w:bCs/>
                <w:color w:val="000000"/>
                <w:szCs w:val="21"/>
              </w:rPr>
              <w:t>2</w:t>
            </w:r>
          </w:p>
        </w:tc>
        <w:tc>
          <w:tcPr>
            <w:tcW w:w="4819"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Case study</w:t>
            </w:r>
          </w:p>
        </w:tc>
        <w:tc>
          <w:tcPr>
            <w:tcW w:w="1560"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5C3D5D" w:rsidRPr="000D19DF" w:rsidTr="00E210C4">
        <w:tc>
          <w:tcPr>
            <w:tcW w:w="2660" w:type="dxa"/>
            <w:shd w:val="clear" w:color="auto" w:fill="auto"/>
          </w:tcPr>
          <w:p w:rsidR="005C3D5D" w:rsidRPr="00AC21A3" w:rsidRDefault="005C3D5D" w:rsidP="005C3D5D">
            <w:pPr>
              <w:snapToGrid w:val="0"/>
              <w:spacing w:beforeLines="50" w:before="180" w:afterLines="50" w:after="180"/>
              <w:jc w:val="center"/>
              <w:rPr>
                <w:bCs/>
                <w:color w:val="000000"/>
                <w:szCs w:val="21"/>
              </w:rPr>
            </w:pPr>
            <w:r w:rsidRPr="00AC21A3">
              <w:rPr>
                <w:bCs/>
                <w:color w:val="000000"/>
                <w:szCs w:val="21"/>
              </w:rPr>
              <w:t>X</w:t>
            </w:r>
            <w:r>
              <w:rPr>
                <w:bCs/>
                <w:color w:val="000000"/>
                <w:szCs w:val="21"/>
              </w:rPr>
              <w:t>3</w:t>
            </w:r>
          </w:p>
        </w:tc>
        <w:tc>
          <w:tcPr>
            <w:tcW w:w="4819"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rFonts w:hint="eastAsia"/>
                <w:bCs/>
                <w:color w:val="000000"/>
                <w:szCs w:val="21"/>
              </w:rPr>
              <w:t>Presentation</w:t>
            </w:r>
          </w:p>
        </w:tc>
        <w:tc>
          <w:tcPr>
            <w:tcW w:w="1560"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r w:rsidR="005C3D5D" w:rsidRPr="000D19DF" w:rsidTr="00E210C4">
        <w:tc>
          <w:tcPr>
            <w:tcW w:w="2660" w:type="dxa"/>
            <w:shd w:val="clear" w:color="auto" w:fill="auto"/>
          </w:tcPr>
          <w:p w:rsidR="005C3D5D" w:rsidRPr="00AC21A3" w:rsidRDefault="005C3D5D" w:rsidP="005C3D5D">
            <w:pPr>
              <w:snapToGrid w:val="0"/>
              <w:spacing w:beforeLines="50" w:before="180" w:afterLines="50" w:after="180"/>
              <w:jc w:val="center"/>
              <w:rPr>
                <w:bCs/>
                <w:color w:val="000000"/>
                <w:szCs w:val="21"/>
              </w:rPr>
            </w:pPr>
            <w:r w:rsidRPr="00AC21A3">
              <w:rPr>
                <w:bCs/>
                <w:color w:val="000000"/>
                <w:szCs w:val="21"/>
              </w:rPr>
              <w:t>X</w:t>
            </w:r>
            <w:r>
              <w:rPr>
                <w:bCs/>
                <w:color w:val="000000"/>
                <w:szCs w:val="21"/>
              </w:rPr>
              <w:t>4</w:t>
            </w:r>
          </w:p>
        </w:tc>
        <w:tc>
          <w:tcPr>
            <w:tcW w:w="4819"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Test 1</w:t>
            </w:r>
            <w:bookmarkStart w:id="1" w:name="_GoBack"/>
            <w:bookmarkEnd w:id="1"/>
          </w:p>
        </w:tc>
        <w:tc>
          <w:tcPr>
            <w:tcW w:w="1560" w:type="dxa"/>
            <w:shd w:val="clear" w:color="auto" w:fill="auto"/>
          </w:tcPr>
          <w:p w:rsidR="005C3D5D" w:rsidRPr="00AC21A3" w:rsidRDefault="005C3D5D" w:rsidP="005C3D5D">
            <w:pPr>
              <w:snapToGrid w:val="0"/>
              <w:spacing w:beforeLines="50" w:before="180" w:afterLines="50" w:after="180"/>
              <w:jc w:val="center"/>
              <w:rPr>
                <w:bCs/>
                <w:color w:val="000000"/>
                <w:szCs w:val="21"/>
              </w:rPr>
            </w:pPr>
            <w:r>
              <w:rPr>
                <w:bCs/>
                <w:color w:val="000000"/>
                <w:szCs w:val="21"/>
              </w:rPr>
              <w:t>25</w:t>
            </w:r>
            <w:r w:rsidRPr="00AC21A3">
              <w:rPr>
                <w:bCs/>
                <w:color w:val="000000"/>
                <w:szCs w:val="21"/>
              </w:rPr>
              <w:t>%</w:t>
            </w:r>
          </w:p>
        </w:tc>
      </w:tr>
    </w:tbl>
    <w:p w:rsidR="0020135B" w:rsidRPr="000D19DF" w:rsidRDefault="0020135B"/>
    <w:p w:rsidR="007865CA" w:rsidRPr="000D19DF" w:rsidRDefault="007865CA" w:rsidP="0072774C">
      <w:pPr>
        <w:tabs>
          <w:tab w:val="left" w:pos="3420"/>
          <w:tab w:val="left" w:pos="7560"/>
        </w:tabs>
        <w:spacing w:beforeLines="20" w:before="72"/>
        <w:ind w:left="420" w:hanging="420"/>
        <w:jc w:val="both"/>
        <w:rPr>
          <w:rFonts w:eastAsia="仿宋"/>
          <w:color w:val="000000"/>
          <w:position w:val="-20"/>
          <w:lang w:eastAsia="zh-CN"/>
        </w:rPr>
      </w:pPr>
      <w:r>
        <w:rPr>
          <w:rFonts w:eastAsia="仿宋" w:hint="eastAsia"/>
          <w:color w:val="000000"/>
          <w:position w:val="-20"/>
          <w:lang w:eastAsia="zh-CN"/>
        </w:rPr>
        <w:t>M</w:t>
      </w:r>
      <w:r>
        <w:rPr>
          <w:rFonts w:eastAsia="仿宋"/>
          <w:color w:val="000000"/>
          <w:position w:val="-20"/>
          <w:lang w:eastAsia="zh-CN"/>
        </w:rPr>
        <w:t>emo:</w:t>
      </w:r>
    </w:p>
    <w:p w:rsidR="0020135B" w:rsidRDefault="0072774C" w:rsidP="0072774C">
      <w:pPr>
        <w:tabs>
          <w:tab w:val="left" w:pos="3420"/>
          <w:tab w:val="left" w:pos="7560"/>
        </w:tabs>
        <w:spacing w:beforeLines="20" w:before="72"/>
        <w:jc w:val="both"/>
        <w:rPr>
          <w:rFonts w:eastAsia="仿宋"/>
          <w:color w:val="000000"/>
          <w:position w:val="-20"/>
          <w:lang w:eastAsia="zh-CN"/>
        </w:rPr>
      </w:pPr>
      <w:r w:rsidRPr="0072774C">
        <w:rPr>
          <w:rFonts w:eastAsia="仿宋"/>
          <w:color w:val="000000"/>
          <w:position w:val="-20"/>
          <w:lang w:eastAsia="zh-CN"/>
        </w:rPr>
        <w:t>Teaching content should not simply fill in the first few chapters, the first few sections should be simple and clear summary of the teaching content itself;</w:t>
      </w:r>
    </w:p>
    <w:p w:rsidR="007865CA" w:rsidRPr="000D19DF" w:rsidRDefault="007865CA" w:rsidP="0072774C">
      <w:pPr>
        <w:tabs>
          <w:tab w:val="left" w:pos="3420"/>
          <w:tab w:val="left" w:pos="7560"/>
        </w:tabs>
        <w:rPr>
          <w:rFonts w:eastAsia="仿宋"/>
          <w:color w:val="000000"/>
          <w:position w:val="-20"/>
          <w:lang w:eastAsia="zh-CN"/>
        </w:rPr>
      </w:pPr>
      <w:r>
        <w:rPr>
          <w:rFonts w:eastAsia="仿宋" w:hint="eastAsia"/>
          <w:color w:val="000000"/>
          <w:position w:val="-20"/>
          <w:lang w:eastAsia="zh-CN"/>
        </w:rPr>
        <w:t>T</w:t>
      </w:r>
      <w:r>
        <w:rPr>
          <w:rFonts w:eastAsia="仿宋"/>
          <w:color w:val="000000"/>
          <w:position w:val="-20"/>
          <w:lang w:eastAsia="zh-CN"/>
        </w:rPr>
        <w:t xml:space="preserve">he methods </w:t>
      </w:r>
      <w:r w:rsidR="00F41125">
        <w:rPr>
          <w:rFonts w:eastAsia="仿宋"/>
          <w:color w:val="000000"/>
          <w:position w:val="-20"/>
          <w:lang w:eastAsia="zh-CN"/>
        </w:rPr>
        <w:t>include</w:t>
      </w:r>
      <w:r>
        <w:rPr>
          <w:rFonts w:eastAsia="仿宋"/>
          <w:color w:val="000000"/>
          <w:position w:val="-20"/>
          <w:lang w:eastAsia="zh-CN"/>
        </w:rPr>
        <w:t xml:space="preserve"> teaching, </w:t>
      </w:r>
      <w:r w:rsidR="00F41125">
        <w:rPr>
          <w:rFonts w:eastAsia="仿宋"/>
          <w:color w:val="000000"/>
          <w:position w:val="-20"/>
          <w:lang w:eastAsia="zh-CN"/>
        </w:rPr>
        <w:t>experiment</w:t>
      </w:r>
      <w:r>
        <w:rPr>
          <w:rFonts w:eastAsia="仿宋"/>
          <w:color w:val="000000"/>
          <w:position w:val="-20"/>
          <w:lang w:eastAsia="zh-CN"/>
        </w:rPr>
        <w:t xml:space="preserve">, </w:t>
      </w:r>
      <w:r w:rsidR="00F41125">
        <w:rPr>
          <w:rFonts w:eastAsia="仿宋"/>
          <w:color w:val="000000"/>
          <w:position w:val="-20"/>
          <w:lang w:eastAsia="zh-CN"/>
        </w:rPr>
        <w:t xml:space="preserve">discussion, exercising, visiting, teaching-practicing, team report and examination. </w:t>
      </w:r>
    </w:p>
    <w:p w:rsidR="0020135B" w:rsidRPr="000D19DF" w:rsidRDefault="0072774C" w:rsidP="0072774C">
      <w:pPr>
        <w:tabs>
          <w:tab w:val="left" w:pos="3420"/>
          <w:tab w:val="left" w:pos="7560"/>
        </w:tabs>
        <w:rPr>
          <w:rFonts w:eastAsia="仿宋"/>
          <w:color w:val="000000"/>
          <w:position w:val="-20"/>
          <w:lang w:eastAsia="zh-CN"/>
        </w:rPr>
      </w:pPr>
      <w:r w:rsidRPr="0072774C">
        <w:rPr>
          <w:rFonts w:eastAsia="仿宋"/>
          <w:color w:val="000000"/>
          <w:position w:val="-20"/>
          <w:lang w:eastAsia="zh-CN"/>
        </w:rPr>
        <w:t>The evaluation method is the final exam "1" and the process assessment "X", where "1" is the form prescribed in the syllabus; "X" may be defined by the instructor or the course group themselves (for the same teacher course, Group of a unified way and proportion of X). Including paper and pen test, class presentation, stage paper, investigation report, comprehensive report, study notes, small experiment, small production, applet, small design, etc., fill in the corresponding positions in the table with "1" and "X "The way and results accounted for.</w:t>
      </w:r>
    </w:p>
    <w:p w:rsidR="0020135B" w:rsidRPr="00E210C4" w:rsidRDefault="00E210C4" w:rsidP="0072774C">
      <w:pPr>
        <w:tabs>
          <w:tab w:val="left" w:pos="3420"/>
          <w:tab w:val="left" w:pos="7560"/>
        </w:tabs>
        <w:rPr>
          <w:sz w:val="28"/>
          <w:szCs w:val="28"/>
        </w:rPr>
      </w:pPr>
      <w:r w:rsidRPr="0072774C">
        <w:rPr>
          <w:rFonts w:eastAsia="仿宋"/>
          <w:color w:val="000000"/>
          <w:position w:val="-20"/>
          <w:lang w:eastAsia="zh-CN"/>
        </w:rPr>
        <w:t>Formulator</w:t>
      </w:r>
      <w:r w:rsidRPr="0072774C">
        <w:rPr>
          <w:rFonts w:eastAsia="仿宋"/>
          <w:color w:val="000000"/>
          <w:position w:val="-20"/>
          <w:lang w:eastAsia="zh-CN"/>
        </w:rPr>
        <w:t>：</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Signature of dean</w:t>
      </w:r>
      <w:r w:rsidRPr="0072774C">
        <w:rPr>
          <w:rFonts w:eastAsia="仿宋"/>
          <w:color w:val="000000"/>
          <w:position w:val="-20"/>
          <w:lang w:eastAsia="zh-CN"/>
        </w:rPr>
        <w:t>：</w:t>
      </w:r>
      <w:r w:rsidRPr="0072774C">
        <w:rPr>
          <w:rFonts w:eastAsia="仿宋" w:hint="eastAsia"/>
          <w:color w:val="000000"/>
          <w:position w:val="-20"/>
          <w:lang w:eastAsia="zh-CN"/>
        </w:rPr>
        <w:t xml:space="preserve"> </w:t>
      </w:r>
      <w:r w:rsidRPr="0072774C">
        <w:rPr>
          <w:rFonts w:eastAsia="仿宋"/>
          <w:color w:val="000000"/>
          <w:position w:val="-20"/>
          <w:lang w:eastAsia="zh-CN"/>
        </w:rPr>
        <w:t xml:space="preserve"> </w:t>
      </w:r>
      <w:r w:rsidR="005B292A">
        <w:rPr>
          <w:rFonts w:eastAsia="仿宋"/>
          <w:color w:val="000000"/>
          <w:position w:val="-20"/>
          <w:lang w:eastAsia="zh-CN"/>
        </w:rPr>
        <w:t xml:space="preserve">    </w:t>
      </w:r>
      <w:r w:rsidRPr="0072774C">
        <w:rPr>
          <w:rFonts w:eastAsia="仿宋"/>
          <w:color w:val="000000"/>
          <w:position w:val="-20"/>
          <w:lang w:eastAsia="zh-CN"/>
        </w:rPr>
        <w:t xml:space="preserve">     Time</w:t>
      </w:r>
      <w:r w:rsidRPr="0072774C">
        <w:rPr>
          <w:rFonts w:eastAsia="仿宋"/>
          <w:color w:val="000000"/>
          <w:position w:val="-20"/>
          <w:lang w:eastAsia="zh-CN"/>
        </w:rPr>
        <w:t>：</w:t>
      </w:r>
      <w:r w:rsidRPr="0072774C">
        <w:rPr>
          <w:rFonts w:eastAsia="仿宋"/>
          <w:color w:val="000000"/>
          <w:position w:val="-20"/>
          <w:lang w:eastAsia="zh-CN"/>
        </w:rPr>
        <w:t xml:space="preserve">   </w:t>
      </w:r>
      <w:r w:rsidRPr="00A958C7">
        <w:rPr>
          <w:sz w:val="28"/>
          <w:szCs w:val="28"/>
          <w:lang w:eastAsia="zh-CN"/>
        </w:rPr>
        <w:t xml:space="preserve">                    </w:t>
      </w:r>
    </w:p>
    <w:sectPr w:rsidR="0020135B" w:rsidRPr="00E210C4">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17" w:rsidRDefault="00AE7B17">
      <w:r>
        <w:separator/>
      </w:r>
    </w:p>
  </w:endnote>
  <w:endnote w:type="continuationSeparator" w:id="0">
    <w:p w:rsidR="00AE7B17" w:rsidRDefault="00AE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20135B" w:rsidRDefault="00486439">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345364">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20135B" w:rsidRDefault="00486439">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17" w:rsidRDefault="00AE7B17">
      <w:r>
        <w:separator/>
      </w:r>
    </w:p>
  </w:footnote>
  <w:footnote w:type="continuationSeparator" w:id="0">
    <w:p w:rsidR="00AE7B17" w:rsidRDefault="00AE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5B" w:rsidRDefault="00486439">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rsidR="0020135B" w:rsidRDefault="0048643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32B"/>
    <w:multiLevelType w:val="hybridMultilevel"/>
    <w:tmpl w:val="397A8BB2"/>
    <w:lvl w:ilvl="0" w:tplc="2288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369D9"/>
    <w:rsid w:val="00040BAC"/>
    <w:rsid w:val="000439B6"/>
    <w:rsid w:val="000457BB"/>
    <w:rsid w:val="00045AE0"/>
    <w:rsid w:val="00046E2D"/>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9D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36747"/>
    <w:rsid w:val="00140258"/>
    <w:rsid w:val="0014621F"/>
    <w:rsid w:val="00161517"/>
    <w:rsid w:val="00161A65"/>
    <w:rsid w:val="001625E9"/>
    <w:rsid w:val="00163A68"/>
    <w:rsid w:val="00164B67"/>
    <w:rsid w:val="0016749D"/>
    <w:rsid w:val="00171DEE"/>
    <w:rsid w:val="00173320"/>
    <w:rsid w:val="00173705"/>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135B"/>
    <w:rsid w:val="00207629"/>
    <w:rsid w:val="00212E8E"/>
    <w:rsid w:val="002174A6"/>
    <w:rsid w:val="0021779C"/>
    <w:rsid w:val="0022097D"/>
    <w:rsid w:val="00233384"/>
    <w:rsid w:val="00233529"/>
    <w:rsid w:val="00240B53"/>
    <w:rsid w:val="002644A0"/>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0AE6"/>
    <w:rsid w:val="00323A00"/>
    <w:rsid w:val="00325BFB"/>
    <w:rsid w:val="00326D1F"/>
    <w:rsid w:val="00331EC3"/>
    <w:rsid w:val="00340792"/>
    <w:rsid w:val="00344C4C"/>
    <w:rsid w:val="00345364"/>
    <w:rsid w:val="003458AD"/>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0FA"/>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447FF"/>
    <w:rsid w:val="00452E85"/>
    <w:rsid w:val="00452ED4"/>
    <w:rsid w:val="00460FAC"/>
    <w:rsid w:val="00463BDD"/>
    <w:rsid w:val="00472676"/>
    <w:rsid w:val="00472995"/>
    <w:rsid w:val="00474F4C"/>
    <w:rsid w:val="00474FEF"/>
    <w:rsid w:val="00475657"/>
    <w:rsid w:val="00475C85"/>
    <w:rsid w:val="004770DF"/>
    <w:rsid w:val="004835D5"/>
    <w:rsid w:val="00486439"/>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4E7C"/>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292A"/>
    <w:rsid w:val="005B6225"/>
    <w:rsid w:val="005C3D5D"/>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4973"/>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61A"/>
    <w:rsid w:val="00714CF5"/>
    <w:rsid w:val="0071779C"/>
    <w:rsid w:val="0072774C"/>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65CA"/>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7F7FD1"/>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07CD"/>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1C54"/>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7B17"/>
    <w:rsid w:val="00AF5CCA"/>
    <w:rsid w:val="00B01445"/>
    <w:rsid w:val="00B01533"/>
    <w:rsid w:val="00B04CA1"/>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47D0C"/>
    <w:rsid w:val="00B527EC"/>
    <w:rsid w:val="00B61082"/>
    <w:rsid w:val="00B65870"/>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2C48"/>
    <w:rsid w:val="00D36F07"/>
    <w:rsid w:val="00D40A06"/>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366E"/>
    <w:rsid w:val="00E0534E"/>
    <w:rsid w:val="00E0657D"/>
    <w:rsid w:val="00E07D9C"/>
    <w:rsid w:val="00E1648B"/>
    <w:rsid w:val="00E166D8"/>
    <w:rsid w:val="00E17EEE"/>
    <w:rsid w:val="00E20B29"/>
    <w:rsid w:val="00E210C4"/>
    <w:rsid w:val="00E27623"/>
    <w:rsid w:val="00E31628"/>
    <w:rsid w:val="00E32DD8"/>
    <w:rsid w:val="00E4037B"/>
    <w:rsid w:val="00E43444"/>
    <w:rsid w:val="00E46564"/>
    <w:rsid w:val="00E52CD7"/>
    <w:rsid w:val="00E573C0"/>
    <w:rsid w:val="00E57781"/>
    <w:rsid w:val="00E611E6"/>
    <w:rsid w:val="00E67717"/>
    <w:rsid w:val="00E67EC9"/>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125"/>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E7C26"/>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1AF2A"/>
  <w15:docId w15:val="{2D5A37E9-6D3C-48E8-BE72-81ACB6C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rsid w:val="000D19DF"/>
    <w:pPr>
      <w:ind w:firstLineChars="200" w:firstLine="420"/>
    </w:pPr>
  </w:style>
  <w:style w:type="table" w:customStyle="1" w:styleId="TableNormal">
    <w:name w:val="Table Normal"/>
    <w:uiPriority w:val="2"/>
    <w:semiHidden/>
    <w:unhideWhenUsed/>
    <w:qFormat/>
    <w:rsid w:val="005C3D5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3D5D"/>
    <w:pPr>
      <w:autoSpaceDE w:val="0"/>
      <w:autoSpaceDN w:val="0"/>
      <w:ind w:left="107"/>
    </w:pPr>
    <w:rPr>
      <w:rFonts w:ascii="Arial" w:eastAsia="Arial" w:hAnsi="Arial" w:cs="Arial"/>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D4683-4ADD-4FF9-9F6D-481619DC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413</Words>
  <Characters>2355</Characters>
  <Application>Microsoft Office Word</Application>
  <DocSecurity>0</DocSecurity>
  <Lines>19</Lines>
  <Paragraphs>5</Paragraphs>
  <ScaleCrop>false</ScaleCrop>
  <Company>CMT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Yuan Wan</cp:lastModifiedBy>
  <cp:revision>42</cp:revision>
  <cp:lastPrinted>2015-03-18T03:45:00Z</cp:lastPrinted>
  <dcterms:created xsi:type="dcterms:W3CDTF">2015-08-27T04:51:00Z</dcterms:created>
  <dcterms:modified xsi:type="dcterms:W3CDTF">2019-09-04T05:51:00Z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