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905837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905837">
        <w:rPr>
          <w:rFonts w:ascii="SimHei" w:eastAsia="SimHei" w:hAnsi="SimHei" w:hint="eastAsia"/>
          <w:sz w:val="32"/>
          <w:szCs w:val="32"/>
        </w:rPr>
        <w:t>上海建桥学院</w:t>
      </w:r>
      <w:r w:rsidRPr="00905837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905837" w:rsidRDefault="00EB59EF" w:rsidP="0088514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905837" w:rsidRDefault="0015124D" w:rsidP="0088514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hint="eastAsia"/>
                <w:color w:val="000000"/>
                <w:sz w:val="20"/>
                <w:szCs w:val="20"/>
              </w:rPr>
              <w:t>2060679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奢侈品品牌管理</w:t>
            </w:r>
            <w:r w:rsidR="005F2D02"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（双语）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905837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B17-5</w:t>
            </w:r>
          </w:p>
        </w:tc>
        <w:tc>
          <w:tcPr>
            <w:tcW w:w="1134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05837">
              <w:rPr>
                <w:rFonts w:ascii="SimSun" w:eastAsia="SimSun" w:hAnsi="SimSun"/>
                <w:sz w:val="21"/>
                <w:szCs w:val="21"/>
                <w:lang w:eastAsia="zh-CN"/>
              </w:rPr>
              <w:t>2201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905837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color w:val="000000"/>
                <w:sz w:val="20"/>
                <w:szCs w:val="20"/>
              </w:rPr>
              <w:t>奢侈品战略：揭秘世界顶级奢侈品的品牌战略，</w:t>
            </w:r>
            <w:r w:rsidRPr="00905837">
              <w:rPr>
                <w:color w:val="000000"/>
                <w:sz w:val="20"/>
                <w:szCs w:val="20"/>
              </w:rPr>
              <w:t xml:space="preserve">Vincent </w:t>
            </w:r>
            <w:proofErr w:type="spellStart"/>
            <w:r w:rsidRPr="00905837">
              <w:rPr>
                <w:color w:val="000000"/>
                <w:sz w:val="20"/>
                <w:szCs w:val="20"/>
              </w:rPr>
              <w:t>Bastien</w:t>
            </w:r>
            <w:proofErr w:type="spellEnd"/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color w:val="000000"/>
                <w:sz w:val="20"/>
                <w:szCs w:val="20"/>
              </w:rPr>
              <w:t xml:space="preserve"> Jean-Noel </w:t>
            </w:r>
            <w:proofErr w:type="spellStart"/>
            <w:r w:rsidRPr="00905837">
              <w:rPr>
                <w:color w:val="000000"/>
                <w:sz w:val="20"/>
                <w:szCs w:val="20"/>
              </w:rPr>
              <w:t>Kapferer</w:t>
            </w:r>
            <w:proofErr w:type="spellEnd"/>
            <w:r w:rsidRPr="00905837">
              <w:rPr>
                <w:color w:val="000000"/>
                <w:sz w:val="20"/>
                <w:szCs w:val="20"/>
              </w:rPr>
              <w:t xml:space="preserve"> </w:t>
            </w:r>
            <w:r w:rsidRPr="00905837">
              <w:rPr>
                <w:color w:val="000000"/>
                <w:sz w:val="20"/>
                <w:szCs w:val="20"/>
              </w:rPr>
              <w:t>，谢绮红译，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机械工业出版社，</w:t>
            </w:r>
            <w:r w:rsidRPr="00905837">
              <w:rPr>
                <w:color w:val="000000"/>
                <w:sz w:val="20"/>
                <w:szCs w:val="20"/>
              </w:rPr>
              <w:t>2013-12-01</w:t>
            </w:r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第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版，书号：</w:t>
            </w:r>
            <w:r w:rsidRPr="00905837">
              <w:rPr>
                <w:color w:val="000000"/>
                <w:sz w:val="20"/>
                <w:szCs w:val="20"/>
              </w:rPr>
              <w:t>9787111439684</w:t>
            </w:r>
          </w:p>
        </w:tc>
      </w:tr>
      <w:tr w:rsidR="00EB59EF" w:rsidRPr="00905837">
        <w:trPr>
          <w:trHeight w:val="571"/>
        </w:trPr>
        <w:tc>
          <w:tcPr>
            <w:tcW w:w="1418" w:type="dxa"/>
            <w:vAlign w:val="center"/>
          </w:tcPr>
          <w:p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F2D02" w:rsidRPr="00905837" w:rsidRDefault="005F2D02" w:rsidP="005F2D02">
            <w:pPr>
              <w:jc w:val="both"/>
              <w:rPr>
                <w:rFonts w:ascii="Calibri" w:eastAsia="SimSun" w:hAnsi="Calibri"/>
                <w:color w:val="000000"/>
                <w:sz w:val="20"/>
                <w:szCs w:val="20"/>
              </w:rPr>
            </w:pP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、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奢侈品品牌管理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——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方法与实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践，李杰，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2010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，北京大学出版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社。</w:t>
            </w:r>
          </w:p>
          <w:p w:rsidR="005F2D02" w:rsidRPr="00905837" w:rsidRDefault="005F2D02" w:rsidP="005F2D02">
            <w:pPr>
              <w:snapToGrid w:val="0"/>
              <w:rPr>
                <w:color w:val="000000"/>
                <w:sz w:val="20"/>
                <w:szCs w:val="20"/>
              </w:rPr>
            </w:pP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2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、奢侈品品牌管理（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Luxury Brand Management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），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Michel Chevalier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Gerald </w:t>
            </w:r>
            <w:proofErr w:type="spellStart"/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Mazzalovo</w:t>
            </w:r>
            <w:proofErr w:type="spellEnd"/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Pierre Xiao Lu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2016</w:t>
            </w:r>
            <w:r w:rsidRPr="00905837">
              <w:rPr>
                <w:rFonts w:ascii="Calibri" w:eastAsia="SimSun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格致出版社与上海人民出版社。</w:t>
            </w:r>
          </w:p>
          <w:p w:rsidR="00EB59EF" w:rsidRPr="00905837" w:rsidRDefault="005F2D02" w:rsidP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0583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、奢侈品管理概论，赵秀忠、朱明侠、张小琳主编，对外经济贸易大学出版社，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2010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版，高等院校奢侈品管理专业规划教材，北京市高等教育精品教材立项项目。</w:t>
            </w:r>
          </w:p>
        </w:tc>
      </w:tr>
    </w:tbl>
    <w:p w:rsidR="00EB59EF" w:rsidRPr="00905837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905837" w:rsidRDefault="0015124D" w:rsidP="0088514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905837" w:rsidRDefault="007E31AF" w:rsidP="007E31AF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第一章 奢侈品的概念</w:t>
            </w:r>
          </w:p>
          <w:p w:rsidR="007E31AF" w:rsidRPr="00905837" w:rsidRDefault="007E31AF" w:rsidP="007E31AF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第二章 奢侈品牌的特征、要素、核心和意义</w:t>
            </w:r>
          </w:p>
          <w:p w:rsidR="007E31AF" w:rsidRPr="00905837" w:rsidRDefault="007E31AF" w:rsidP="007E31AF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第三章 奢侈品市场与行业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905837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KaiTi_GB2312" w:eastAsia="KaiTi_GB2312" w:hAnsi="KaiTi_GB2312" w:hint="eastAsia"/>
              </w:rPr>
              <w:t>市场行业分析</w:t>
            </w: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第四章 市场参与者</w:t>
            </w:r>
          </w:p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第五章 品牌文化与定位</w:t>
            </w:r>
          </w:p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第六章 产品创造、创新与定价策略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 xml:space="preserve">第七章 </w:t>
            </w:r>
            <w:r w:rsidRPr="00905837">
              <w:rPr>
                <w:rFonts w:ascii="SimSun" w:eastAsia="SimSun" w:hAnsi="SimSun"/>
              </w:rPr>
              <w:t>奢侈品品牌传播</w:t>
            </w:r>
          </w:p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 xml:space="preserve">第八章 </w:t>
            </w:r>
            <w:r w:rsidRPr="00905837">
              <w:rPr>
                <w:rFonts w:ascii="SimSun" w:eastAsia="SimSun" w:hAnsi="SimSun"/>
              </w:rPr>
              <w:t>奢侈品</w:t>
            </w:r>
            <w:r w:rsidRPr="00905837">
              <w:rPr>
                <w:rFonts w:ascii="SimSun" w:eastAsia="SimSun" w:hAnsi="SimSun" w:hint="eastAsia"/>
              </w:rPr>
              <w:t>品牌营销与体验创造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KaiTi_GB2312" w:eastAsia="KaiTi_GB2312" w:hAnsi="KaiTi_GB2312" w:hint="eastAsia"/>
              </w:rPr>
              <w:t>品牌研究报告</w:t>
            </w: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第九章 分销与销售</w:t>
            </w:r>
          </w:p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 xml:space="preserve">第十章 </w:t>
            </w:r>
            <w:r w:rsidRPr="00905837">
              <w:rPr>
                <w:rFonts w:ascii="SimSun" w:eastAsia="SimSun" w:hAnsi="SimSun"/>
              </w:rPr>
              <w:t>奢侈品牌的</w:t>
            </w:r>
            <w:r w:rsidRPr="00905837">
              <w:rPr>
                <w:rFonts w:ascii="SimSun" w:eastAsia="SimSun" w:hAnsi="SimSun" w:hint="eastAsia"/>
              </w:rPr>
              <w:t>电子商务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88514D" w:rsidP="007E31AF">
            <w:pPr>
              <w:widowControl/>
              <w:spacing w:after="120" w:line="240" w:lineRule="auto"/>
              <w:rPr>
                <w:rFonts w:ascii="SimSun" w:eastAsia="SimSun" w:hAnsi="SimSun" w:hint="eastAsia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第十</w:t>
            </w:r>
            <w:r w:rsidRPr="00905837">
              <w:rPr>
                <w:rFonts w:ascii="SimSun" w:eastAsia="SimSun" w:hAnsi="SimSun" w:hint="eastAsia"/>
                <w:lang w:eastAsia="zh-CN"/>
              </w:rPr>
              <w:t>一</w:t>
            </w:r>
            <w:r w:rsidRPr="00905837">
              <w:rPr>
                <w:rFonts w:ascii="SimSun" w:eastAsia="SimSun" w:hAnsi="SimSun" w:hint="eastAsia"/>
              </w:rPr>
              <w:t xml:space="preserve">章 </w:t>
            </w:r>
            <w:r w:rsidRPr="00905837">
              <w:rPr>
                <w:rFonts w:ascii="SimSun" w:eastAsia="SimSun" w:hAnsi="SimSun"/>
              </w:rPr>
              <w:t>奢侈品</w:t>
            </w:r>
            <w:r w:rsidRPr="00905837">
              <w:rPr>
                <w:rFonts w:ascii="SimSun" w:eastAsia="SimSun" w:hAnsi="SimSun" w:hint="eastAsia"/>
              </w:rPr>
              <w:t>品牌维护与发展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 w:hint="eastAsia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</w:t>
            </w:r>
            <w:r w:rsidR="0088514D" w:rsidRPr="00905837">
              <w:rPr>
                <w:rFonts w:ascii="SimSun" w:eastAsia="SimSun" w:hAnsi="SimSun" w:hint="eastAsia"/>
              </w:rPr>
              <w:t>十</w:t>
            </w:r>
            <w:r w:rsidR="0088514D" w:rsidRPr="00905837">
              <w:rPr>
                <w:rFonts w:ascii="SimSun" w:eastAsia="SimSun" w:hAnsi="SimSun" w:hint="eastAsia"/>
                <w:lang w:eastAsia="zh-CN"/>
              </w:rPr>
              <w:t>二</w:t>
            </w:r>
            <w:r w:rsidRPr="00905837">
              <w:rPr>
                <w:rFonts w:ascii="SimSun" w:eastAsia="SimSun" w:hAnsi="SimSun" w:hint="eastAsia"/>
              </w:rPr>
              <w:t>章 奢侈品品牌如何实现全球化并打开中国市场</w:t>
            </w:r>
          </w:p>
          <w:p w:rsidR="00905837" w:rsidRPr="00905837" w:rsidRDefault="00905837" w:rsidP="00905837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 w:rsidRPr="00905837">
              <w:rPr>
                <w:rFonts w:ascii="SimSun" w:eastAsia="SimSun" w:hAnsi="SimSun" w:hint="eastAsia"/>
              </w:rPr>
              <w:t>第十</w:t>
            </w:r>
            <w:r w:rsidRPr="00905837">
              <w:rPr>
                <w:rFonts w:ascii="SimSun" w:eastAsia="SimSun" w:hAnsi="SimSun" w:hint="eastAsia"/>
                <w:lang w:eastAsia="zh-CN"/>
              </w:rPr>
              <w:t>三</w:t>
            </w:r>
            <w:r w:rsidRPr="00905837">
              <w:rPr>
                <w:rFonts w:ascii="SimSun" w:eastAsia="SimSun" w:hAnsi="SimSun" w:hint="eastAsia"/>
              </w:rPr>
              <w:t>章 奢侈品牌在中国的发展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PPT</w:t>
            </w: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88514D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第十</w:t>
            </w:r>
            <w:r w:rsidRPr="00905837">
              <w:rPr>
                <w:rFonts w:ascii="SimSun" w:eastAsia="SimSun" w:hAnsi="SimSun" w:hint="eastAsia"/>
                <w:lang w:eastAsia="zh-CN"/>
              </w:rPr>
              <w:t>四</w:t>
            </w:r>
            <w:r w:rsidR="00785A46" w:rsidRPr="00905837">
              <w:rPr>
                <w:rFonts w:ascii="SimSun" w:eastAsia="SimSun" w:hAnsi="SimSun" w:hint="eastAsia"/>
              </w:rPr>
              <w:t>章 中国本土品牌升级及发展自有高端和奢侈品牌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讲课、</w:t>
            </w:r>
            <w:r w:rsidRPr="00905837">
              <w:rPr>
                <w:rFonts w:ascii="SimSun" w:eastAsia="SimSun" w:hAnsi="SimSun" w:hint="eastAsia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 w:rsidP="007E31AF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905837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905837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B59EF" w:rsidRPr="00905837" w:rsidRDefault="0015124D" w:rsidP="0088514D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905837">
        <w:tc>
          <w:tcPr>
            <w:tcW w:w="1809" w:type="dxa"/>
            <w:shd w:val="clear" w:color="auto" w:fill="auto"/>
          </w:tcPr>
          <w:p w:rsidR="00EB59EF" w:rsidRPr="00905837" w:rsidRDefault="0015124D" w:rsidP="0088514D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90583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905837" w:rsidRDefault="0015124D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905837" w:rsidRDefault="0015124D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 w:rsidRPr="00905837">
              <w:rPr>
                <w:rFonts w:ascii="KaiTi_GB2312" w:eastAsia="KaiTi_GB2312" w:hAnsi="KaiTi_GB2312" w:hint="eastAsia"/>
              </w:rPr>
              <w:t>市场行业分析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 w:rsidRPr="00905837">
              <w:rPr>
                <w:rFonts w:ascii="KaiTi_GB2312" w:eastAsia="KaiTi_GB2312" w:hAnsi="KaiTi_GB2312" w:hint="eastAsia"/>
              </w:rPr>
              <w:t>品牌研究报告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KaiTi_GB2312" w:eastAsia="KaiTi_GB2312" w:hAnsi="KaiTi_GB2312" w:hint="eastAsia"/>
              </w:rPr>
              <w:t>课堂展示</w:t>
            </w:r>
            <w:r w:rsidRPr="00905837">
              <w:rPr>
                <w:rFonts w:ascii="KaiTi_GB2312" w:eastAsia="KaiTi_GB2312" w:hAnsi="KaiTi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905837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  <w:tr w:rsidR="007E31AF" w:rsidRPr="00905837">
        <w:tc>
          <w:tcPr>
            <w:tcW w:w="1809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E31AF" w:rsidRPr="00905837" w:rsidRDefault="007E31AF" w:rsidP="0088514D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</w:tr>
    </w:tbl>
    <w:p w:rsidR="007E31AF" w:rsidRPr="00905837" w:rsidRDefault="007E31AF" w:rsidP="0088514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Pr="00905837" w:rsidRDefault="0015124D" w:rsidP="0088514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905837" w:rsidRDefault="0015124D" w:rsidP="0088514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/>
          <w:color w:val="000000"/>
          <w:position w:val="-20"/>
          <w:lang w:eastAsia="zh-CN"/>
        </w:rPr>
        <w:lastRenderedPageBreak/>
        <w:t>教学内容不宜简单地填写第几章、第几节，应就教学内容本身做简单明了的概括；</w:t>
      </w:r>
    </w:p>
    <w:p w:rsidR="00EB59EF" w:rsidRPr="00905837" w:rsidRDefault="0015124D" w:rsidP="0088514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905837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905837">
        <w:rPr>
          <w:rFonts w:ascii="仿宋" w:eastAsia="仿宋" w:hAnsi="仿宋" w:hint="eastAsia"/>
          <w:color w:val="000000"/>
          <w:position w:val="-20"/>
        </w:rPr>
        <w:t>、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905837">
        <w:rPr>
          <w:rFonts w:ascii="仿宋" w:eastAsia="仿宋" w:hAnsi="仿宋" w:hint="eastAsia"/>
          <w:color w:val="000000"/>
          <w:position w:val="-20"/>
        </w:rPr>
        <w:t>参观、</w:t>
      </w:r>
      <w:r w:rsidRPr="00905837">
        <w:rPr>
          <w:rFonts w:ascii="仿宋" w:eastAsia="仿宋" w:hAnsi="仿宋"/>
          <w:color w:val="000000"/>
          <w:position w:val="-20"/>
        </w:rPr>
        <w:t>边讲边练</w:t>
      </w:r>
      <w:r w:rsidRPr="00905837">
        <w:rPr>
          <w:rFonts w:ascii="仿宋" w:eastAsia="仿宋" w:hAnsi="仿宋" w:hint="eastAsia"/>
          <w:color w:val="000000"/>
          <w:position w:val="-20"/>
        </w:rPr>
        <w:t>、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905837">
        <w:rPr>
          <w:rFonts w:ascii="仿宋" w:eastAsia="仿宋" w:hAnsi="仿宋" w:hint="eastAsia"/>
          <w:color w:val="000000"/>
          <w:position w:val="-20"/>
        </w:rPr>
        <w:t>、考核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905837" w:rsidRDefault="0015124D" w:rsidP="0088514D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905837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905837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905837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905837" w:rsidRDefault="00EB59EF" w:rsidP="0088514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553D4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1B" w:rsidRDefault="00D70F1B" w:rsidP="00EB59EF">
      <w:pPr>
        <w:spacing w:after="0" w:line="240" w:lineRule="auto"/>
      </w:pPr>
      <w:r>
        <w:separator/>
      </w:r>
    </w:p>
  </w:endnote>
  <w:endnote w:type="continuationSeparator" w:id="0">
    <w:p w:rsidR="00D70F1B" w:rsidRDefault="00D70F1B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553D45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53D4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53D4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05837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553D4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88514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1B" w:rsidRDefault="00D70F1B" w:rsidP="00EB59EF">
      <w:pPr>
        <w:spacing w:after="0" w:line="240" w:lineRule="auto"/>
      </w:pPr>
      <w:r>
        <w:separator/>
      </w:r>
    </w:p>
  </w:footnote>
  <w:footnote w:type="continuationSeparator" w:id="0">
    <w:p w:rsidR="00D70F1B" w:rsidRDefault="00D70F1B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88514D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553D45" w:rsidP="0088514D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553D4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217D2-E78D-4809-BBFA-613CA3C3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7</cp:revision>
  <cp:lastPrinted>2015-03-18T03:45:00Z</cp:lastPrinted>
  <dcterms:created xsi:type="dcterms:W3CDTF">2019-03-30T01:47:00Z</dcterms:created>
  <dcterms:modified xsi:type="dcterms:W3CDTF">2019-10-27T09:39:00Z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