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【综合材料设计与工艺】</w:t>
      </w:r>
    </w:p>
    <w:p>
      <w:pPr>
        <w:shd w:val="clear" w:color="auto" w:fill="F5F5F5"/>
        <w:jc w:val="center"/>
        <w:textAlignment w:val="top"/>
        <w:rPr>
          <w:rFonts w:ascii="Arial" w:hAnsi="Arial" w:cs="Arial"/>
          <w:color w:val="888888"/>
          <w:kern w:val="0"/>
          <w:sz w:val="20"/>
          <w:szCs w:val="20"/>
        </w:rPr>
      </w:pPr>
      <w:r>
        <w:rPr>
          <w:rFonts w:hint="eastAsia"/>
          <w:b/>
          <w:sz w:val="28"/>
          <w:szCs w:val="30"/>
        </w:rPr>
        <w:t>【comprehensive material design and craft】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cs="宋体"/>
          <w:kern w:val="0"/>
          <w:szCs w:val="21"/>
        </w:rPr>
        <w:t>2120039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bCs/>
          <w:sz w:val="20"/>
          <w:szCs w:val="20"/>
        </w:rPr>
        <w:t>产品设计（珠宝首饰设计）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ascii="宋体" w:hAnsi="宋体" w:cs="宋体"/>
          <w:sz w:val="20"/>
          <w:szCs w:val="20"/>
        </w:rPr>
        <w:t>珠宝学院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1798" w:leftChars="380" w:hanging="1000" w:hangingChars="500"/>
        <w:rPr>
          <w:rFonts w:ascii="宋体" w:hAnsi="宋体"/>
          <w:kern w:val="0"/>
          <w:sz w:val="20"/>
          <w:szCs w:val="20"/>
        </w:rPr>
      </w:pPr>
      <w:r>
        <w:rPr>
          <w:rFonts w:hint="eastAsia" w:ascii="宋体" w:hAnsi="宋体"/>
          <w:kern w:val="0"/>
          <w:sz w:val="20"/>
          <w:szCs w:val="20"/>
        </w:rPr>
        <w:t>教材：《首饰材料应用宝典》，安娜斯塔尼亚·杨 著 ，张正国 倪世一 译，上海人民</w:t>
      </w:r>
    </w:p>
    <w:p>
      <w:pPr>
        <w:snapToGrid w:val="0"/>
        <w:spacing w:line="288" w:lineRule="auto"/>
        <w:ind w:firstLine="1400" w:firstLineChars="700"/>
        <w:rPr>
          <w:sz w:val="20"/>
          <w:szCs w:val="20"/>
        </w:rPr>
      </w:pPr>
      <w:r>
        <w:rPr>
          <w:rFonts w:hint="eastAsia" w:ascii="宋体" w:hAnsi="宋体"/>
          <w:kern w:val="0"/>
          <w:sz w:val="20"/>
          <w:szCs w:val="20"/>
        </w:rPr>
        <w:t>美术出版社，2014.1</w:t>
      </w:r>
    </w:p>
    <w:p>
      <w:pPr>
        <w:widowControl/>
        <w:ind w:firstLine="800" w:firstLineChars="400"/>
        <w:jc w:val="left"/>
        <w:rPr>
          <w:rFonts w:ascii="宋体" w:hAnsi="宋体"/>
          <w:sz w:val="20"/>
          <w:szCs w:val="20"/>
        </w:rPr>
      </w:pPr>
      <w:r>
        <w:rPr>
          <w:rFonts w:hint="eastAsia" w:ascii="宋体" w:hAnsi="宋体"/>
          <w:sz w:val="20"/>
          <w:szCs w:val="20"/>
        </w:rPr>
        <w:t>参考书目：《服饰品设计》，苏洁编著，中国纺织出版社，2010.2</w:t>
      </w:r>
    </w:p>
    <w:p>
      <w:pPr>
        <w:widowControl/>
        <w:ind w:firstLine="1800" w:firstLineChars="900"/>
        <w:jc w:val="left"/>
        <w:rPr>
          <w:rFonts w:ascii="宋体" w:hAnsi="宋体"/>
          <w:sz w:val="20"/>
          <w:szCs w:val="20"/>
        </w:rPr>
      </w:pPr>
      <w:r>
        <w:rPr>
          <w:rFonts w:hint="eastAsia" w:ascii="宋体" w:hAnsi="宋体"/>
          <w:sz w:val="20"/>
          <w:szCs w:val="20"/>
        </w:rPr>
        <w:t>《首饰设计》，伊丽莎白·奥尔弗著，中国纺织出版社，2004.3</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411" w:firstLineChars="196"/>
        <w:rPr>
          <w:color w:val="000000"/>
          <w:sz w:val="20"/>
          <w:szCs w:val="20"/>
        </w:rPr>
      </w:pPr>
      <w:r>
        <w:fldChar w:fldCharType="begin"/>
      </w:r>
      <w:r>
        <w:instrText xml:space="preserve"> HYPERLINK "https://elearning.gench.edu.cn:8443/webapps/blackboard/execute/modulepage/view?course_id=_5879_1&amp;cmp_tab_id=_6159_1&amp;editMode=true&amp;mode=cpview" </w:instrText>
      </w:r>
      <w:r>
        <w:fldChar w:fldCharType="separate"/>
      </w:r>
      <w:r>
        <w:rPr>
          <w:rStyle w:val="7"/>
          <w:rFonts w:hint="eastAsia"/>
          <w:color w:val="000000"/>
          <w:sz w:val="20"/>
          <w:szCs w:val="20"/>
        </w:rPr>
        <w:t>https://elearning.gench.edu.cn:8443/webapps/blackboard/execute/modulepage/view?course_id=_5879_1&amp;cmp_tab_id=_6159_1&amp;editMode=true&amp;mode=cpview</w:t>
      </w:r>
      <w:r>
        <w:rPr>
          <w:rStyle w:val="7"/>
          <w:rFonts w:hint="eastAsia"/>
          <w:color w:val="000000"/>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【设计</w:t>
      </w:r>
      <w:r>
        <w:rPr>
          <w:rFonts w:hint="eastAsia" w:ascii="宋体" w:hAnsi="宋体" w:cs="宋体"/>
          <w:sz w:val="20"/>
          <w:szCs w:val="20"/>
        </w:rPr>
        <w:t>美学 2120009（3）、首饰概论2040086（2）首饰设计专业绘图2040277（4）设计基础（三大构成）2040072（4）首饰专题设计2040278（4）等</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rPr>
          <w:sz w:val="20"/>
          <w:szCs w:val="20"/>
        </w:rPr>
      </w:pPr>
      <w:r>
        <w:rPr>
          <w:rFonts w:hint="eastAsia"/>
          <w:sz w:val="20"/>
          <w:szCs w:val="20"/>
        </w:rPr>
        <w:t>本课程的主要内容包括理论和设计实践两部分。第一部主要讲授内容为首饰设计基本构思方法及多种工艺表现手法、综合材质时尚饰品的设计方法及制作工艺以及特定命题的首饰设计方法。第二部分主要包括综合材质首饰设计创作及制作以及特定命题的首饰设计创作及制作。</w:t>
      </w: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rPr>
          <w:color w:val="000000"/>
          <w:sz w:val="20"/>
          <w:szCs w:val="20"/>
        </w:rPr>
      </w:pPr>
      <w:r>
        <w:rPr>
          <w:rFonts w:hint="eastAsia"/>
          <w:color w:val="000000"/>
          <w:sz w:val="20"/>
          <w:szCs w:val="20"/>
        </w:rPr>
        <w:t>本课程适于宝石及材料工艺学专业本科设计制作方向学生三年级第一学期学习。学习本课程的学生应具备手绘基本能力、对首饰结构等专业知识有一定的认识与了解，并熟练掌握首饰制作基本工艺。</w:t>
      </w: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w:t>
            </w:r>
            <w:r>
              <w:rPr>
                <w:rFonts w:hint="eastAsia" w:ascii="仿宋" w:hAnsi="仿宋" w:eastAsia="仿宋" w:cs="宋体"/>
                <w:color w:val="000000"/>
                <w:kern w:val="0"/>
                <w:sz w:val="24"/>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ascii="仿宋" w:hAnsi="仿宋" w:eastAsia="仿宋" w:cs="宋体"/>
                <w:color w:val="000000"/>
                <w:kern w:val="0"/>
                <w:sz w:val="24"/>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r>
              <w:rPr>
                <w:rFonts w:hint="eastAsia" w:ascii="仿宋" w:hAnsi="仿宋" w:eastAsia="仿宋" w:cs="宋体"/>
                <w:color w:val="000000"/>
                <w:kern w:val="0"/>
                <w:sz w:val="24"/>
              </w:rPr>
              <w:t>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r>
              <w:rPr>
                <w:rFonts w:hint="eastAsia" w:ascii="仿宋" w:hAnsi="仿宋" w:eastAsia="仿宋" w:cs="宋体"/>
                <w:color w:val="000000"/>
                <w:kern w:val="0"/>
                <w:sz w:val="24"/>
              </w:rPr>
              <w:t>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r>
              <w:rPr>
                <w:rFonts w:hint="eastAsia" w:ascii="仿宋" w:hAnsi="仿宋" w:eastAsia="仿宋" w:cs="宋体"/>
                <w:color w:val="000000"/>
                <w:kern w:val="0"/>
                <w:sz w:val="24"/>
              </w:rPr>
              <w:t>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hint="eastAsia" w:ascii="仿宋" w:hAnsi="仿宋" w:eastAsia="仿宋" w:cs="宋体"/>
                <w:color w:val="000000"/>
                <w:kern w:val="0"/>
                <w:sz w:val="24"/>
              </w:rPr>
              <w:t>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w:t>
            </w:r>
            <w:r>
              <w:rPr>
                <w:rFonts w:hint="eastAsia" w:ascii="仿宋" w:hAnsi="仿宋" w:eastAsia="仿宋" w:cs="宋体"/>
                <w:color w:val="000000"/>
                <w:kern w:val="0"/>
                <w:sz w:val="24"/>
              </w:rPr>
              <w:t>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LO41：</w:t>
            </w:r>
            <w:r>
              <w:rPr>
                <w:rFonts w:hint="eastAsia" w:ascii="仿宋" w:hAnsi="仿宋" w:eastAsia="仿宋" w:cs="宋体"/>
                <w:color w:val="000000"/>
                <w:kern w:val="0"/>
                <w:sz w:val="24"/>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w:t>
            </w:r>
            <w:r>
              <w:rPr>
                <w:rFonts w:hint="eastAsia" w:ascii="仿宋" w:hAnsi="仿宋" w:eastAsia="仿宋" w:cs="宋体"/>
                <w:kern w:val="0"/>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LO61：</w:t>
            </w:r>
            <w:r>
              <w:rPr>
                <w:rFonts w:hint="eastAsia" w:ascii="仿宋" w:hAnsi="仿宋" w:eastAsia="仿宋" w:cs="宋体"/>
                <w:kern w:val="0"/>
                <w:sz w:val="24"/>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LO71：</w:t>
            </w:r>
            <w:r>
              <w:rPr>
                <w:rFonts w:hint="eastAsia" w:ascii="仿宋" w:hAnsi="仿宋" w:eastAsia="仿宋" w:cs="宋体"/>
                <w:kern w:val="0"/>
                <w:sz w:val="24"/>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w:t>
            </w:r>
            <w:r>
              <w:rPr>
                <w:rFonts w:hint="eastAsia" w:ascii="仿宋" w:hAnsi="仿宋" w:eastAsia="仿宋" w:cs="宋体"/>
                <w:color w:val="000000"/>
                <w:kern w:val="0"/>
                <w:sz w:val="24"/>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kern w:val="0"/>
                <w:sz w:val="20"/>
                <w:szCs w:val="20"/>
              </w:rPr>
            </w:pPr>
            <w:r>
              <w:rPr>
                <w:rFonts w:hint="eastAsia" w:ascii="黑体" w:hAnsi="黑体" w:eastAsia="黑体" w:cs="黑体"/>
                <w:kern w:val="0"/>
                <w:sz w:val="20"/>
                <w:szCs w:val="20"/>
              </w:rPr>
              <w:t>专业毕业要求</w:t>
            </w:r>
          </w:p>
        </w:tc>
        <w:tc>
          <w:tcPr>
            <w:tcW w:w="727" w:type="dxa"/>
            <w:vAlign w:val="center"/>
          </w:tcPr>
          <w:p>
            <w:pPr>
              <w:widowControl/>
              <w:jc w:val="center"/>
              <w:rPr>
                <w:rFonts w:ascii="仿宋" w:hAnsi="仿宋" w:eastAsia="仿宋" w:cs="宋体"/>
                <w:color w:val="000000"/>
                <w:kern w:val="0"/>
                <w:sz w:val="24"/>
                <w:szCs w:val="20"/>
              </w:rPr>
            </w:pPr>
          </w:p>
        </w:tc>
      </w:tr>
    </w:tbl>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szCs w:val="24"/>
              </w:rPr>
              <w:t>LO212</w:t>
            </w:r>
          </w:p>
        </w:tc>
        <w:tc>
          <w:tcPr>
            <w:tcW w:w="2470" w:type="dxa"/>
            <w:shd w:val="clear" w:color="auto" w:fill="auto"/>
          </w:tcPr>
          <w:p>
            <w:pPr>
              <w:rPr>
                <w:rFonts w:ascii="宋体" w:hAnsi="宋体" w:cs="宋体"/>
                <w:color w:val="000000"/>
                <w:kern w:val="0"/>
                <w:sz w:val="24"/>
              </w:rPr>
            </w:pPr>
            <w:r>
              <w:rPr>
                <w:rFonts w:hint="eastAsia" w:ascii="宋体" w:hAnsi="宋体" w:cs="宋体"/>
                <w:color w:val="000000"/>
                <w:kern w:val="0"/>
                <w:sz w:val="20"/>
                <w:szCs w:val="20"/>
              </w:rPr>
              <w:t>通过对材质在社会应用范畴及艺术家创作情况的调研，确立自己的研究原因、方向及意义。</w:t>
            </w:r>
          </w:p>
        </w:tc>
        <w:tc>
          <w:tcPr>
            <w:tcW w:w="2199" w:type="dxa"/>
            <w:shd w:val="clear" w:color="auto" w:fill="auto"/>
          </w:tcPr>
          <w:p>
            <w:pPr>
              <w:snapToGrid w:val="0"/>
              <w:spacing w:line="288" w:lineRule="auto"/>
              <w:jc w:val="center"/>
              <w:rPr>
                <w:rFonts w:ascii="宋体" w:hAnsi="宋体" w:cs="宋体"/>
                <w:sz w:val="24"/>
              </w:rPr>
            </w:pPr>
            <w:r>
              <w:rPr>
                <w:rFonts w:hint="eastAsia" w:ascii="宋体" w:hAnsi="宋体" w:cs="宋体"/>
                <w:sz w:val="20"/>
                <w:szCs w:val="20"/>
              </w:rPr>
              <w:t>自学。通过市场调研、书本及网络的资料汇总，整理成为完成的个人调研报告。</w:t>
            </w:r>
          </w:p>
        </w:tc>
        <w:tc>
          <w:tcPr>
            <w:tcW w:w="1276" w:type="dxa"/>
            <w:shd w:val="clear" w:color="auto" w:fill="auto"/>
          </w:tcPr>
          <w:p>
            <w:pPr>
              <w:snapToGrid w:val="0"/>
              <w:spacing w:line="288" w:lineRule="auto"/>
              <w:jc w:val="center"/>
              <w:rPr>
                <w:rFonts w:ascii="宋体" w:hAnsi="宋体" w:cs="宋体"/>
                <w:sz w:val="24"/>
              </w:rPr>
            </w:pPr>
            <w:r>
              <w:rPr>
                <w:rFonts w:hint="eastAsia" w:ascii="宋体" w:hAnsi="宋体"/>
                <w:bCs/>
                <w:color w:val="000000"/>
                <w:szCs w:val="20"/>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宋体" w:hAnsi="宋体" w:cs="宋体"/>
                <w:color w:val="000000"/>
                <w:kern w:val="0"/>
                <w:sz w:val="24"/>
              </w:rPr>
            </w:pPr>
            <w:r>
              <w:rPr>
                <w:rFonts w:hint="eastAsia" w:ascii="宋体" w:hAnsi="宋体" w:cs="宋体"/>
                <w:color w:val="000000"/>
                <w:kern w:val="0"/>
                <w:sz w:val="24"/>
                <w:szCs w:val="24"/>
              </w:rPr>
              <w:t>LO323</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1.通过对材料的深入研究，掌握单一材料创作的不同呈现方式，以及应用思路。</w:t>
            </w:r>
          </w:p>
        </w:tc>
        <w:tc>
          <w:tcPr>
            <w:tcW w:w="2199" w:type="dxa"/>
            <w:vMerge w:val="restart"/>
            <w:shd w:val="clear" w:color="auto" w:fill="auto"/>
          </w:tcPr>
          <w:p>
            <w:pPr>
              <w:snapToGrid w:val="0"/>
              <w:spacing w:line="288" w:lineRule="auto"/>
              <w:rPr>
                <w:rFonts w:ascii="宋体" w:hAnsi="宋体" w:cs="宋体"/>
                <w:sz w:val="24"/>
              </w:rPr>
            </w:pPr>
            <w:r>
              <w:rPr>
                <w:rFonts w:hint="eastAsia" w:ascii="宋体" w:hAnsi="宋体" w:cs="宋体"/>
                <w:sz w:val="20"/>
                <w:szCs w:val="20"/>
              </w:rPr>
              <w:t>采用命题讨论和实践相结合的方式，翻转课堂，让学生带着问题进行材料的多种可能性研究和实验，并进行优秀案例的创作分析总结。</w:t>
            </w:r>
          </w:p>
        </w:tc>
        <w:tc>
          <w:tcPr>
            <w:tcW w:w="1276" w:type="dxa"/>
            <w:vMerge w:val="restart"/>
            <w:shd w:val="clear" w:color="auto" w:fill="auto"/>
          </w:tcPr>
          <w:p>
            <w:pPr>
              <w:snapToGrid w:val="0"/>
              <w:spacing w:line="288" w:lineRule="auto"/>
              <w:jc w:val="center"/>
              <w:rPr>
                <w:rFonts w:ascii="宋体" w:hAnsi="宋体" w:cs="宋体"/>
                <w:sz w:val="24"/>
              </w:rPr>
            </w:pPr>
            <w:r>
              <w:rPr>
                <w:rFonts w:hint="eastAsia" w:ascii="宋体" w:hAnsi="宋体"/>
                <w:bCs/>
                <w:color w:val="000000"/>
                <w:szCs w:val="20"/>
              </w:rPr>
              <w:t>实验项目总结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宋体" w:hAnsi="宋体" w:cs="宋体"/>
                <w:color w:val="000000"/>
                <w:kern w:val="0"/>
                <w:sz w:val="24"/>
              </w:rPr>
            </w:pP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2.掌握多种材料组合方法，认识到材料的重要性和创新的必要性。</w:t>
            </w:r>
          </w:p>
        </w:tc>
        <w:tc>
          <w:tcPr>
            <w:tcW w:w="2199" w:type="dxa"/>
            <w:vMerge w:val="continue"/>
            <w:shd w:val="clear" w:color="auto" w:fill="auto"/>
          </w:tcPr>
          <w:p>
            <w:pPr>
              <w:snapToGrid w:val="0"/>
              <w:spacing w:line="288" w:lineRule="auto"/>
              <w:jc w:val="center"/>
              <w:rPr>
                <w:rFonts w:ascii="宋体" w:hAnsi="宋体" w:cs="宋体"/>
                <w:sz w:val="24"/>
              </w:rPr>
            </w:pPr>
          </w:p>
        </w:tc>
        <w:tc>
          <w:tcPr>
            <w:tcW w:w="1276" w:type="dxa"/>
            <w:vMerge w:val="continue"/>
            <w:shd w:val="clear" w:color="auto" w:fill="auto"/>
          </w:tcPr>
          <w:p>
            <w:pPr>
              <w:snapToGrid w:val="0"/>
              <w:spacing w:line="288"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宋体" w:hAnsi="宋体" w:cs="宋体"/>
                <w:color w:val="000000"/>
                <w:kern w:val="0"/>
                <w:sz w:val="24"/>
              </w:rPr>
            </w:pPr>
            <w:r>
              <w:rPr>
                <w:rFonts w:hint="eastAsia" w:ascii="宋体" w:hAnsi="宋体" w:cs="宋体"/>
                <w:color w:val="000000"/>
                <w:kern w:val="0"/>
                <w:sz w:val="24"/>
                <w:szCs w:val="24"/>
              </w:rPr>
              <w:t>LO511</w:t>
            </w:r>
          </w:p>
        </w:tc>
        <w:tc>
          <w:tcPr>
            <w:tcW w:w="2470" w:type="dxa"/>
            <w:shd w:val="clear" w:color="auto" w:fill="auto"/>
          </w:tcPr>
          <w:p>
            <w:pPr>
              <w:rPr>
                <w:rFonts w:ascii="宋体" w:hAnsi="宋体" w:cs="宋体"/>
                <w:color w:val="000000"/>
                <w:kern w:val="0"/>
                <w:sz w:val="24"/>
              </w:rPr>
            </w:pPr>
            <w:r>
              <w:rPr>
                <w:rFonts w:hint="eastAsia"/>
              </w:rPr>
              <w:t>通过小组项目制创作，学会在团队协作中主动担任自己的角色，与其他成员密切合作，共同完成任务。</w:t>
            </w:r>
          </w:p>
        </w:tc>
        <w:tc>
          <w:tcPr>
            <w:tcW w:w="2199" w:type="dxa"/>
            <w:shd w:val="clear" w:color="auto" w:fill="auto"/>
          </w:tcPr>
          <w:p>
            <w:pPr>
              <w:snapToGrid w:val="0"/>
              <w:spacing w:line="288" w:lineRule="auto"/>
              <w:jc w:val="center"/>
              <w:rPr>
                <w:rFonts w:ascii="宋体" w:hAnsi="宋体" w:cs="宋体"/>
                <w:sz w:val="24"/>
              </w:rPr>
            </w:pPr>
            <w:r>
              <w:rPr>
                <w:rFonts w:hint="eastAsia" w:ascii="宋体" w:hAnsi="宋体" w:cs="宋体"/>
                <w:sz w:val="24"/>
              </w:rPr>
              <w:t>采用小组形式进行命题创作学习方法，共同讨论制定材料使用和工艺选择方案，指导学生协同完成作品的创作环节。</w:t>
            </w:r>
          </w:p>
        </w:tc>
        <w:tc>
          <w:tcPr>
            <w:tcW w:w="1276" w:type="dxa"/>
            <w:shd w:val="clear" w:color="auto" w:fill="auto"/>
          </w:tcPr>
          <w:p>
            <w:pPr>
              <w:snapToGrid w:val="0"/>
              <w:spacing w:line="288" w:lineRule="auto"/>
              <w:jc w:val="center"/>
              <w:rPr>
                <w:rFonts w:ascii="宋体" w:hAnsi="宋体" w:cs="宋体"/>
                <w:sz w:val="24"/>
              </w:rPr>
            </w:pPr>
            <w:r>
              <w:rPr>
                <w:rFonts w:hint="eastAsia" w:ascii="宋体" w:hAnsi="宋体"/>
                <w:bCs/>
                <w:color w:val="000000"/>
                <w:szCs w:val="20"/>
              </w:rPr>
              <w:t>实验性作品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5" w:type="dxa"/>
            <w:shd w:val="clear" w:color="auto" w:fill="auto"/>
          </w:tcPr>
          <w:p>
            <w:pPr>
              <w:rPr>
                <w:rFonts w:ascii="宋体" w:hAnsi="宋体" w:cs="宋体"/>
                <w:color w:val="000000"/>
                <w:kern w:val="0"/>
                <w:sz w:val="24"/>
                <w:szCs w:val="24"/>
              </w:rPr>
            </w:pPr>
            <w:r>
              <w:rPr>
                <w:rFonts w:hint="eastAsia" w:ascii="宋体" w:hAnsi="宋体" w:cs="宋体"/>
                <w:color w:val="000000"/>
                <w:kern w:val="0"/>
                <w:sz w:val="24"/>
                <w:szCs w:val="24"/>
              </w:rPr>
              <w:t>LO513</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通过学习掌握材料研究方法和创作工艺方法，从多个维度进行设计思考，并进行主题性创新创作。</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由学生自己搜集灵感设计作品绘制出图稿，并制作成实物，教师现场指导。</w:t>
            </w:r>
          </w:p>
        </w:tc>
        <w:tc>
          <w:tcPr>
            <w:tcW w:w="1276" w:type="dxa"/>
            <w:shd w:val="clear" w:color="auto" w:fill="auto"/>
          </w:tcPr>
          <w:p>
            <w:pPr>
              <w:snapToGrid w:val="0"/>
              <w:spacing w:line="288" w:lineRule="auto"/>
              <w:jc w:val="center"/>
              <w:rPr>
                <w:rFonts w:ascii="宋体" w:hAnsi="宋体"/>
                <w:bCs/>
                <w:color w:val="000000"/>
                <w:szCs w:val="20"/>
              </w:rPr>
            </w:pPr>
            <w:r>
              <w:rPr>
                <w:rFonts w:hint="eastAsia" w:ascii="宋体" w:hAnsi="宋体"/>
                <w:bCs/>
                <w:color w:val="000000"/>
                <w:szCs w:val="20"/>
              </w:rPr>
              <w:t>个人设计实践作品</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rPr>
          <w:rFonts w:ascii="宋体" w:hAnsi="宋体"/>
          <w:sz w:val="20"/>
          <w:szCs w:val="20"/>
        </w:rPr>
      </w:pPr>
      <w:r>
        <w:rPr>
          <w:rFonts w:hint="eastAsia" w:ascii="宋体" w:hAnsi="宋体"/>
          <w:sz w:val="20"/>
          <w:szCs w:val="20"/>
        </w:rPr>
        <w:t>总课时：64学时，其中理论授课 24学时，实践课 40 学时。</w:t>
      </w:r>
    </w:p>
    <w:p>
      <w:pPr>
        <w:snapToGrid w:val="0"/>
        <w:spacing w:line="288" w:lineRule="auto"/>
        <w:rPr>
          <w:rFonts w:ascii="宋体" w:hAnsi="宋体"/>
          <w:sz w:val="20"/>
          <w:szCs w:val="20"/>
        </w:rPr>
      </w:pPr>
      <w:r>
        <w:rPr>
          <w:rFonts w:hint="eastAsia" w:ascii="宋体" w:hAnsi="宋体"/>
          <w:sz w:val="20"/>
          <w:szCs w:val="20"/>
        </w:rPr>
        <w:t>第一</w:t>
      </w:r>
      <w:r>
        <w:rPr>
          <w:rFonts w:hint="eastAsia" w:ascii="宋体" w:hAnsi="宋体"/>
          <w:sz w:val="20"/>
          <w:szCs w:val="20"/>
          <w:lang w:eastAsia="zh-CN"/>
        </w:rPr>
        <w:t>单元</w:t>
      </w:r>
      <w:r>
        <w:rPr>
          <w:rFonts w:hint="eastAsia" w:ascii="宋体" w:hAnsi="宋体"/>
          <w:sz w:val="20"/>
          <w:szCs w:val="20"/>
        </w:rPr>
        <w:t>：理论，主要讲授内容为：</w:t>
      </w:r>
    </w:p>
    <w:p>
      <w:pPr>
        <w:snapToGrid w:val="0"/>
        <w:spacing w:line="288" w:lineRule="auto"/>
        <w:rPr>
          <w:rFonts w:ascii="宋体" w:hAnsi="宋体"/>
          <w:sz w:val="20"/>
          <w:szCs w:val="20"/>
        </w:rPr>
      </w:pPr>
      <w:r>
        <w:rPr>
          <w:rFonts w:hint="eastAsia" w:ascii="宋体" w:hAnsi="宋体"/>
          <w:sz w:val="20"/>
          <w:szCs w:val="20"/>
        </w:rPr>
        <w:t xml:space="preserve"> 1、综合材料首饰设计基本构思方法及多种工艺表现手法。（理论8学时）（知道－理解）</w:t>
      </w:r>
    </w:p>
    <w:p>
      <w:pPr>
        <w:snapToGrid w:val="0"/>
        <w:spacing w:line="288" w:lineRule="auto"/>
        <w:rPr>
          <w:rFonts w:ascii="宋体" w:hAnsi="宋体"/>
          <w:sz w:val="20"/>
          <w:szCs w:val="20"/>
        </w:rPr>
      </w:pPr>
      <w:r>
        <w:rPr>
          <w:rFonts w:hint="eastAsia" w:ascii="宋体" w:hAnsi="宋体"/>
          <w:sz w:val="20"/>
          <w:szCs w:val="20"/>
        </w:rPr>
        <w:t xml:space="preserve"> 2、综合材质首饰的制作工艺和不同工艺处理方法介绍。（理论8学时）（理解－运用－分析）</w:t>
      </w:r>
    </w:p>
    <w:p>
      <w:pPr>
        <w:snapToGrid w:val="0"/>
        <w:spacing w:line="288" w:lineRule="auto"/>
        <w:rPr>
          <w:rFonts w:ascii="宋体" w:hAnsi="宋体"/>
          <w:sz w:val="20"/>
          <w:szCs w:val="20"/>
        </w:rPr>
      </w:pPr>
      <w:r>
        <w:rPr>
          <w:rFonts w:hint="eastAsia" w:ascii="宋体" w:hAnsi="宋体"/>
          <w:sz w:val="20"/>
          <w:szCs w:val="20"/>
        </w:rPr>
        <w:t xml:space="preserve"> 3、特定命题的设计思维和方法。（理论8学时）（综合－评价）</w:t>
      </w:r>
    </w:p>
    <w:p>
      <w:pPr>
        <w:snapToGrid w:val="0"/>
        <w:spacing w:line="288" w:lineRule="auto"/>
        <w:rPr>
          <w:rFonts w:ascii="宋体" w:hAnsi="宋体"/>
          <w:sz w:val="20"/>
          <w:szCs w:val="20"/>
        </w:rPr>
      </w:pPr>
      <w:r>
        <w:rPr>
          <w:rFonts w:hint="eastAsia" w:ascii="宋体" w:hAnsi="宋体"/>
          <w:sz w:val="20"/>
          <w:szCs w:val="20"/>
        </w:rPr>
        <w:t>第二</w:t>
      </w:r>
      <w:r>
        <w:rPr>
          <w:rFonts w:hint="eastAsia" w:ascii="宋体" w:hAnsi="宋体"/>
          <w:sz w:val="20"/>
          <w:szCs w:val="20"/>
          <w:lang w:eastAsia="zh-CN"/>
        </w:rPr>
        <w:t>单元</w:t>
      </w:r>
      <w:bookmarkStart w:id="1" w:name="_GoBack"/>
      <w:bookmarkEnd w:id="1"/>
      <w:r>
        <w:rPr>
          <w:rFonts w:hint="eastAsia" w:ascii="宋体" w:hAnsi="宋体"/>
          <w:sz w:val="20"/>
          <w:szCs w:val="20"/>
        </w:rPr>
        <w:t>：设计实践</w:t>
      </w:r>
    </w:p>
    <w:p>
      <w:pPr>
        <w:snapToGrid w:val="0"/>
        <w:spacing w:line="288" w:lineRule="auto"/>
        <w:rPr>
          <w:rFonts w:ascii="宋体" w:hAnsi="宋体"/>
          <w:sz w:val="20"/>
          <w:szCs w:val="20"/>
        </w:rPr>
      </w:pPr>
      <w:r>
        <w:rPr>
          <w:rFonts w:hint="eastAsia" w:ascii="宋体" w:hAnsi="宋体"/>
          <w:sz w:val="20"/>
          <w:szCs w:val="20"/>
        </w:rPr>
        <w:t xml:space="preserve"> 1、单一材质与造型方法的设计训练。（实践8学时）（理解－运用）</w:t>
      </w:r>
    </w:p>
    <w:p>
      <w:pPr>
        <w:snapToGrid w:val="0"/>
        <w:spacing w:line="288" w:lineRule="auto"/>
        <w:rPr>
          <w:rFonts w:ascii="宋体" w:hAnsi="宋体"/>
          <w:sz w:val="20"/>
          <w:szCs w:val="20"/>
        </w:rPr>
      </w:pPr>
      <w:r>
        <w:rPr>
          <w:rFonts w:hint="eastAsia" w:ascii="宋体" w:hAnsi="宋体"/>
          <w:sz w:val="20"/>
          <w:szCs w:val="20"/>
        </w:rPr>
        <w:t xml:space="preserve"> 2、综合材质</w:t>
      </w:r>
      <w:r>
        <w:rPr>
          <w:rFonts w:hint="eastAsia" w:ascii="宋体" w:hAnsi="宋体" w:cs="宋体"/>
          <w:color w:val="000000"/>
          <w:kern w:val="0"/>
          <w:szCs w:val="21"/>
        </w:rPr>
        <w:t>实验应用探索</w:t>
      </w:r>
      <w:r>
        <w:rPr>
          <w:rFonts w:hint="eastAsia" w:ascii="宋体" w:hAnsi="宋体"/>
          <w:sz w:val="20"/>
          <w:szCs w:val="20"/>
        </w:rPr>
        <w:t>。（实践12学时）（理解－运用）</w:t>
      </w:r>
    </w:p>
    <w:p>
      <w:pPr>
        <w:snapToGrid w:val="0"/>
        <w:spacing w:line="288" w:lineRule="auto"/>
        <w:rPr>
          <w:rFonts w:ascii="宋体" w:hAnsi="宋体"/>
          <w:sz w:val="20"/>
          <w:szCs w:val="20"/>
        </w:rPr>
      </w:pPr>
      <w:r>
        <w:rPr>
          <w:rFonts w:hint="eastAsia" w:ascii="宋体" w:hAnsi="宋体"/>
          <w:sz w:val="20"/>
          <w:szCs w:val="20"/>
        </w:rPr>
        <w:t xml:space="preserve"> 3、特定命题的饰品设计创作及制作。（实践20学时）（理解－运用）</w:t>
      </w:r>
    </w:p>
    <w:p>
      <w:pPr>
        <w:snapToGrid w:val="0"/>
        <w:spacing w:line="288" w:lineRule="auto"/>
        <w:ind w:firstLine="400" w:firstLineChars="200"/>
        <w:rPr>
          <w:rFonts w:ascii="宋体" w:hAnsi="宋体"/>
          <w:sz w:val="20"/>
          <w:szCs w:val="20"/>
        </w:rPr>
      </w:pPr>
      <w:r>
        <w:rPr>
          <w:rFonts w:hint="eastAsia" w:ascii="宋体" w:hAnsi="宋体"/>
          <w:sz w:val="20"/>
          <w:szCs w:val="20"/>
        </w:rPr>
        <w:t>教学重点：掌握如何把握综合材料饰品设计的时尚性、前瞻性，掌握所使用材料的特性，从深度上挖掘材质本身的设计可能性和多边性；</w:t>
      </w:r>
    </w:p>
    <w:p>
      <w:pPr>
        <w:snapToGrid w:val="0"/>
        <w:spacing w:line="288" w:lineRule="auto"/>
        <w:ind w:firstLine="400" w:firstLineChars="200"/>
        <w:rPr>
          <w:rFonts w:ascii="宋体" w:hAnsi="宋体"/>
          <w:sz w:val="20"/>
          <w:szCs w:val="20"/>
        </w:rPr>
      </w:pPr>
      <w:r>
        <w:rPr>
          <w:rFonts w:hint="eastAsia" w:ascii="宋体" w:hAnsi="宋体"/>
          <w:sz w:val="20"/>
          <w:szCs w:val="20"/>
        </w:rPr>
        <w:t>教学难点：所使用材料范围宽泛，不仅要解决设计的装饰形式、表现手法，更要学会如何将设计思路与材料完美的结合，达到装饰与形式的统一，结构与功能的统一，没有一蹴而就，必须反复的实验，找到最佳方案。</w:t>
      </w:r>
    </w:p>
    <w:p>
      <w:pPr>
        <w:snapToGrid w:val="0"/>
        <w:spacing w:line="288" w:lineRule="auto"/>
        <w:ind w:right="26"/>
        <w:rPr>
          <w:sz w:val="20"/>
          <w:szCs w:val="20"/>
        </w:rPr>
      </w:pPr>
    </w:p>
    <w:p>
      <w:pPr>
        <w:snapToGrid w:val="0"/>
        <w:spacing w:line="288" w:lineRule="auto"/>
        <w:ind w:right="26" w:firstLine="480" w:firstLineChars="200"/>
        <w:rPr>
          <w:sz w:val="20"/>
          <w:szCs w:val="20"/>
        </w:rPr>
      </w:pPr>
      <w:r>
        <w:rPr>
          <w:rFonts w:hint="eastAsia" w:ascii="黑体" w:hAnsi="宋体" w:eastAsia="黑体"/>
          <w:sz w:val="24"/>
        </w:rPr>
        <w:t>七、课内实验名称及基本要求</w:t>
      </w:r>
    </w:p>
    <w:tbl>
      <w:tblPr>
        <w:tblStyle w:val="4"/>
        <w:tblW w:w="85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37"/>
        <w:gridCol w:w="2423"/>
        <w:gridCol w:w="900"/>
        <w:gridCol w:w="1057"/>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7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1</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sz w:val="16"/>
                <w:szCs w:val="16"/>
              </w:rPr>
            </w:pPr>
            <w:r>
              <w:rPr>
                <w:rFonts w:hint="eastAsia" w:ascii="宋体" w:hAnsi="宋体" w:cs="宋体"/>
                <w:szCs w:val="21"/>
              </w:rPr>
              <w:t>综合材料构思方法训练</w:t>
            </w: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szCs w:val="21"/>
              </w:rPr>
              <w:t>单一材料的多种呈现方式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8</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2</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Cs w:val="21"/>
              </w:rPr>
              <w:t>综合材料构思方法训练</w:t>
            </w: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color w:val="000000"/>
                <w:kern w:val="0"/>
                <w:szCs w:val="21"/>
              </w:rPr>
              <w:t>多种材料和灵感主题的实验应用探索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12</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3</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szCs w:val="21"/>
              </w:rPr>
              <w:t>首饰设计与构思</w:t>
            </w:r>
          </w:p>
        </w:tc>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Cs w:val="21"/>
              </w:rPr>
            </w:pPr>
            <w:r>
              <w:rPr>
                <w:rFonts w:hint="eastAsia" w:ascii="宋体" w:hAnsi="宋体"/>
                <w:szCs w:val="21"/>
              </w:rPr>
              <w:t>围绕主题寻找其他材料表现的可能性，进行系列主题首饰创作。</w:t>
            </w: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hAnsi="宋体"/>
                <w:szCs w:val="21"/>
              </w:rPr>
            </w:pPr>
          </w:p>
          <w:p>
            <w:pPr>
              <w:snapToGrid w:val="0"/>
              <w:spacing w:beforeLines="50" w:afterLines="50" w:line="288" w:lineRule="auto"/>
              <w:jc w:val="center"/>
              <w:rPr>
                <w:rFonts w:ascii="宋体"/>
                <w:sz w:val="16"/>
                <w:szCs w:val="16"/>
              </w:rPr>
            </w:pPr>
            <w:r>
              <w:rPr>
                <w:rFonts w:hint="eastAsia" w:ascii="宋体" w:hAnsi="宋体"/>
                <w:szCs w:val="21"/>
              </w:rPr>
              <w:t>系列作品的呈现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20</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17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right="2520"/>
        <w:rPr>
          <w:rFonts w:ascii="黑体" w:hAnsi="宋体" w:eastAsia="黑体"/>
          <w:sz w:val="24"/>
        </w:rPr>
      </w:pPr>
    </w:p>
    <w:tbl>
      <w:tblPr>
        <w:tblStyle w:val="4"/>
        <w:tblpPr w:leftFromText="180" w:rightFromText="180" w:vertAnchor="text" w:horzAnchor="page" w:tblpX="1889" w:tblpY="8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读书报告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实验性作品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实验项目总结</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个人设计实践作品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35%</w:t>
            </w:r>
          </w:p>
        </w:tc>
      </w:tr>
    </w:tbl>
    <w:p>
      <w:pPr>
        <w:widowControl/>
        <w:spacing w:beforeLines="50" w:afterLines="50" w:line="288" w:lineRule="auto"/>
        <w:jc w:val="left"/>
        <w:rPr>
          <w:rFonts w:ascii="黑体" w:hAnsi="宋体" w:eastAsia="黑体"/>
          <w:sz w:val="24"/>
        </w:rPr>
      </w:pPr>
    </w:p>
    <w:p>
      <w:pPr>
        <w:snapToGrid w:val="0"/>
        <w:spacing w:line="288" w:lineRule="auto"/>
        <w:rPr>
          <w:szCs w:val="21"/>
        </w:rPr>
      </w:pPr>
      <w:r>
        <w:rPr>
          <w:rFonts w:hint="eastAsia"/>
          <w:szCs w:val="21"/>
        </w:rPr>
        <w:t>撰写人：张锦彩系主任审核签名：王琼审核时间</w:t>
      </w:r>
      <w:r>
        <w:rPr>
          <w:szCs w:val="21"/>
        </w:rPr>
        <w:t>:</w:t>
      </w:r>
      <w:r>
        <w:rPr>
          <w:rFonts w:hint="eastAsia"/>
          <w:szCs w:val="21"/>
        </w:rPr>
        <w:t>2019年8月30日</w:t>
      </w:r>
    </w:p>
    <w:p/>
    <w:p>
      <w:pPr>
        <w:snapToGrid w:val="0"/>
        <w:spacing w:line="288" w:lineRule="auto"/>
        <w:ind w:firstLine="840" w:firstLineChars="300"/>
        <w:rPr>
          <w:sz w:val="28"/>
          <w:szCs w:val="28"/>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3313" o:spid="_x0000_s13313"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97873"/>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A5CE9"/>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A0E3B"/>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26FD7"/>
    <w:rsid w:val="00B3070B"/>
    <w:rsid w:val="00B46F21"/>
    <w:rsid w:val="00B511A5"/>
    <w:rsid w:val="00B52EE4"/>
    <w:rsid w:val="00B562BB"/>
    <w:rsid w:val="00B64EB2"/>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D4274"/>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607DF"/>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4C0CD0"/>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430</Words>
  <Characters>2453</Characters>
  <Lines>20</Lines>
  <Paragraphs>5</Paragraphs>
  <TotalTime>0</TotalTime>
  <ScaleCrop>false</ScaleCrop>
  <LinksUpToDate>false</LinksUpToDate>
  <CharactersWithSpaces>2878</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2019-09-02T13:26:00Z</dcterms:created>
  <dc:creator>juvg</dc:creator>
  <cp:lastModifiedBy>Administrator</cp:lastModifiedBy>
  <dcterms:modified xsi:type="dcterms:W3CDTF">2019-09-05T09:04:35Z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