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49" w:rsidRPr="008926D2" w:rsidRDefault="006428CD">
      <w:pPr>
        <w:spacing w:line="288" w:lineRule="auto"/>
        <w:jc w:val="center"/>
        <w:rPr>
          <w:rFonts w:ascii="方正小标宋简体" w:hAnsi="宋体"/>
          <w:bCs/>
          <w:kern w:val="0"/>
          <w:szCs w:val="21"/>
        </w:rPr>
      </w:pPr>
      <w:bookmarkStart w:id="0" w:name="_GoBack"/>
      <w:bookmarkEnd w:id="0"/>
      <w:r>
        <w:rPr>
          <w:rFonts w:asciiTheme="minorEastAsia" w:eastAsiaTheme="minorEastAsia" w:hAnsiTheme="minorEastAsia" w:hint="eastAsia"/>
          <w:bCs/>
          <w:kern w:val="0"/>
          <w:sz w:val="40"/>
          <w:szCs w:val="40"/>
        </w:rPr>
        <w:t xml:space="preserve"> </w:t>
      </w:r>
      <w:r w:rsidR="00EC2591" w:rsidRPr="008926D2">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324C49" w:rsidRDefault="006428C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8926D2">
        <w:rPr>
          <w:rFonts w:asciiTheme="minorEastAsia" w:eastAsiaTheme="minorEastAsia" w:hAnsiTheme="minorEastAsia" w:hint="eastAsia"/>
          <w:bCs/>
          <w:kern w:val="0"/>
          <w:sz w:val="40"/>
          <w:szCs w:val="40"/>
        </w:rPr>
        <w:t xml:space="preserve">      专业课课程</w:t>
      </w:r>
      <w:r w:rsidRPr="008926D2">
        <w:rPr>
          <w:rFonts w:ascii="方正小标宋简体" w:eastAsia="方正小标宋简体" w:hAnsi="宋体" w:hint="eastAsia"/>
          <w:bCs/>
          <w:kern w:val="0"/>
          <w:sz w:val="40"/>
          <w:szCs w:val="40"/>
        </w:rPr>
        <w:t>教学大纲模板</w:t>
      </w:r>
      <w:r w:rsidRPr="008926D2">
        <w:rPr>
          <w:rFonts w:ascii="方正小标宋简体" w:hAnsi="宋体" w:hint="eastAsia"/>
          <w:bCs/>
          <w:kern w:val="0"/>
          <w:szCs w:val="21"/>
        </w:rPr>
        <w:t>（</w:t>
      </w:r>
      <w:r w:rsidRPr="008926D2">
        <w:rPr>
          <w:rFonts w:hint="eastAsia"/>
          <w:sz w:val="32"/>
          <w:szCs w:val="32"/>
        </w:rPr>
        <w:t>2017.6.30</w:t>
      </w:r>
      <w:r w:rsidRPr="008926D2">
        <w:rPr>
          <w:rFonts w:hint="eastAsia"/>
          <w:sz w:val="32"/>
          <w:szCs w:val="32"/>
        </w:rPr>
        <w:t>版</w:t>
      </w:r>
      <w:r w:rsidRPr="008926D2">
        <w:rPr>
          <w:rFonts w:ascii="方正小标宋简体" w:hAnsi="宋体" w:hint="eastAsia"/>
          <w:bCs/>
          <w:kern w:val="0"/>
          <w:szCs w:val="21"/>
        </w:rPr>
        <w:t>）</w:t>
      </w:r>
    </w:p>
    <w:p w:rsidR="00324C49" w:rsidRPr="008926D2" w:rsidRDefault="006428CD">
      <w:pPr>
        <w:spacing w:line="288" w:lineRule="auto"/>
        <w:jc w:val="center"/>
        <w:rPr>
          <w:b/>
          <w:sz w:val="28"/>
          <w:szCs w:val="30"/>
        </w:rPr>
      </w:pPr>
      <w:r w:rsidRPr="008926D2">
        <w:rPr>
          <w:rFonts w:hint="eastAsia"/>
          <w:b/>
          <w:sz w:val="28"/>
          <w:szCs w:val="30"/>
        </w:rPr>
        <w:t>【</w:t>
      </w:r>
      <w:r w:rsidR="001B519F" w:rsidRPr="008926D2">
        <w:rPr>
          <w:rFonts w:ascii="宋体" w:hAnsi="宋体" w:hint="eastAsia"/>
          <w:b/>
          <w:sz w:val="28"/>
          <w:szCs w:val="28"/>
        </w:rPr>
        <w:t>奢侈品品牌管理</w:t>
      </w:r>
      <w:r w:rsidR="0042337B" w:rsidRPr="008926D2">
        <w:rPr>
          <w:rFonts w:ascii="宋体" w:hAnsi="宋体"/>
          <w:b/>
          <w:sz w:val="28"/>
          <w:szCs w:val="28"/>
        </w:rPr>
        <w:t>(</w:t>
      </w:r>
      <w:r w:rsidR="0042337B" w:rsidRPr="008926D2">
        <w:rPr>
          <w:rFonts w:ascii="宋体" w:hAnsi="宋体" w:hint="eastAsia"/>
          <w:b/>
          <w:sz w:val="28"/>
          <w:szCs w:val="28"/>
        </w:rPr>
        <w:t>双语)</w:t>
      </w:r>
      <w:r w:rsidRPr="008926D2">
        <w:rPr>
          <w:rFonts w:hint="eastAsia"/>
          <w:b/>
          <w:sz w:val="28"/>
          <w:szCs w:val="30"/>
        </w:rPr>
        <w:t>】</w:t>
      </w:r>
    </w:p>
    <w:p w:rsidR="00324C49" w:rsidRPr="008926D2" w:rsidRDefault="006428CD">
      <w:pPr>
        <w:shd w:val="clear" w:color="auto" w:fill="F5F5F5"/>
        <w:jc w:val="center"/>
        <w:textAlignment w:val="top"/>
        <w:rPr>
          <w:rFonts w:ascii="Arial" w:hAnsi="Arial" w:cs="Arial"/>
          <w:color w:val="888888"/>
          <w:kern w:val="0"/>
          <w:sz w:val="20"/>
          <w:szCs w:val="20"/>
        </w:rPr>
      </w:pPr>
      <w:r w:rsidRPr="008926D2">
        <w:rPr>
          <w:rFonts w:hint="eastAsia"/>
          <w:b/>
          <w:sz w:val="28"/>
          <w:szCs w:val="30"/>
        </w:rPr>
        <w:t>【</w:t>
      </w:r>
      <w:r w:rsidR="001B519F" w:rsidRPr="008926D2">
        <w:rPr>
          <w:rFonts w:hint="eastAsia"/>
          <w:b/>
          <w:sz w:val="28"/>
          <w:szCs w:val="30"/>
        </w:rPr>
        <w:t>Luxury Brand Management</w:t>
      </w:r>
      <w:r w:rsidR="0042337B" w:rsidRPr="008926D2">
        <w:rPr>
          <w:rFonts w:hint="eastAsia"/>
          <w:b/>
          <w:sz w:val="28"/>
          <w:szCs w:val="30"/>
        </w:rPr>
        <w:t>（</w:t>
      </w:r>
      <w:r w:rsidR="0042337B" w:rsidRPr="008926D2">
        <w:rPr>
          <w:b/>
          <w:sz w:val="28"/>
          <w:szCs w:val="30"/>
        </w:rPr>
        <w:t>Bilingual</w:t>
      </w:r>
      <w:r w:rsidR="0042337B" w:rsidRPr="008926D2">
        <w:rPr>
          <w:rFonts w:hint="eastAsia"/>
          <w:b/>
          <w:sz w:val="28"/>
          <w:szCs w:val="30"/>
        </w:rPr>
        <w:t>）</w:t>
      </w:r>
      <w:r w:rsidRPr="008926D2">
        <w:rPr>
          <w:rFonts w:hint="eastAsia"/>
          <w:b/>
          <w:sz w:val="28"/>
          <w:szCs w:val="30"/>
        </w:rPr>
        <w:t>】</w:t>
      </w:r>
      <w:bookmarkStart w:id="1" w:name="a2"/>
      <w:bookmarkEnd w:id="1"/>
    </w:p>
    <w:p w:rsidR="00324C49" w:rsidRPr="008926D2" w:rsidRDefault="006428CD" w:rsidP="00EC2591">
      <w:pPr>
        <w:spacing w:beforeLines="50" w:afterLines="50" w:line="288" w:lineRule="auto"/>
        <w:ind w:firstLineChars="150" w:firstLine="360"/>
        <w:rPr>
          <w:b/>
          <w:color w:val="008080"/>
          <w:sz w:val="30"/>
          <w:szCs w:val="30"/>
        </w:rPr>
      </w:pPr>
      <w:r w:rsidRPr="008926D2">
        <w:rPr>
          <w:rFonts w:ascii="SimHei" w:eastAsia="SimHei" w:hAnsi="宋体"/>
          <w:sz w:val="24"/>
        </w:rPr>
        <w:t>一</w:t>
      </w:r>
      <w:r w:rsidRPr="008926D2">
        <w:rPr>
          <w:rFonts w:ascii="SimHei" w:eastAsia="SimHei" w:hAnsi="宋体" w:hint="eastAsia"/>
          <w:sz w:val="24"/>
        </w:rPr>
        <w:t>、</w:t>
      </w:r>
      <w:r w:rsidRPr="008926D2">
        <w:rPr>
          <w:rFonts w:ascii="SimHei" w:eastAsia="SimHei" w:hAnsi="宋体"/>
          <w:sz w:val="24"/>
        </w:rPr>
        <w:t>基本信息（必填项）</w:t>
      </w:r>
    </w:p>
    <w:p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课程代码：</w:t>
      </w:r>
      <w:r w:rsidRPr="008926D2">
        <w:rPr>
          <w:color w:val="000000"/>
          <w:sz w:val="20"/>
          <w:szCs w:val="20"/>
        </w:rPr>
        <w:t>【</w:t>
      </w:r>
      <w:r w:rsidR="001B519F" w:rsidRPr="008926D2">
        <w:rPr>
          <w:rFonts w:hint="eastAsia"/>
          <w:color w:val="000000"/>
          <w:sz w:val="20"/>
          <w:szCs w:val="20"/>
        </w:rPr>
        <w:t>2060679</w:t>
      </w:r>
      <w:r w:rsidRPr="008926D2">
        <w:rPr>
          <w:color w:val="000000"/>
          <w:sz w:val="20"/>
          <w:szCs w:val="20"/>
        </w:rPr>
        <w:t>】</w:t>
      </w:r>
    </w:p>
    <w:p w:rsidR="00324C49" w:rsidRPr="008926D2" w:rsidRDefault="006428CD">
      <w:pPr>
        <w:snapToGrid w:val="0"/>
        <w:spacing w:line="288" w:lineRule="auto"/>
        <w:ind w:firstLineChars="196" w:firstLine="394"/>
        <w:rPr>
          <w:color w:val="000000"/>
          <w:szCs w:val="21"/>
        </w:rPr>
      </w:pPr>
      <w:r w:rsidRPr="008926D2">
        <w:rPr>
          <w:b/>
          <w:bCs/>
          <w:color w:val="000000"/>
          <w:sz w:val="20"/>
          <w:szCs w:val="20"/>
        </w:rPr>
        <w:t>课程学分：</w:t>
      </w:r>
      <w:r w:rsidRPr="008926D2">
        <w:rPr>
          <w:color w:val="000000"/>
          <w:sz w:val="20"/>
          <w:szCs w:val="20"/>
        </w:rPr>
        <w:t>【</w:t>
      </w:r>
      <w:r w:rsidR="001B519F" w:rsidRPr="008926D2">
        <w:rPr>
          <w:rFonts w:hint="eastAsia"/>
          <w:color w:val="000000"/>
          <w:sz w:val="20"/>
          <w:szCs w:val="20"/>
        </w:rPr>
        <w:t>2</w:t>
      </w:r>
      <w:r w:rsidRPr="008926D2">
        <w:rPr>
          <w:color w:val="000000"/>
          <w:sz w:val="20"/>
          <w:szCs w:val="20"/>
        </w:rPr>
        <w:t>】</w:t>
      </w:r>
    </w:p>
    <w:p w:rsidR="00324C49" w:rsidRPr="008926D2" w:rsidRDefault="006428CD">
      <w:pPr>
        <w:snapToGrid w:val="0"/>
        <w:spacing w:line="288" w:lineRule="auto"/>
        <w:ind w:firstLineChars="196" w:firstLine="394"/>
        <w:rPr>
          <w:color w:val="000000"/>
          <w:szCs w:val="21"/>
        </w:rPr>
      </w:pPr>
      <w:r w:rsidRPr="008926D2">
        <w:rPr>
          <w:b/>
          <w:bCs/>
          <w:color w:val="000000"/>
          <w:sz w:val="20"/>
          <w:szCs w:val="20"/>
        </w:rPr>
        <w:t>面向专业：</w:t>
      </w:r>
      <w:r w:rsidRPr="008926D2">
        <w:rPr>
          <w:color w:val="000000"/>
          <w:sz w:val="20"/>
          <w:szCs w:val="20"/>
        </w:rPr>
        <w:t>【</w:t>
      </w:r>
      <w:r w:rsidR="00C46DF6" w:rsidRPr="008926D2">
        <w:rPr>
          <w:color w:val="000000"/>
          <w:sz w:val="20"/>
          <w:szCs w:val="20"/>
        </w:rPr>
        <w:t>工商管理</w:t>
      </w:r>
      <w:r w:rsidR="00C46DF6" w:rsidRPr="008926D2">
        <w:rPr>
          <w:rFonts w:asciiTheme="minorEastAsia" w:eastAsiaTheme="minorEastAsia" w:hAnsiTheme="minorEastAsia" w:hint="eastAsia"/>
          <w:color w:val="000000"/>
          <w:sz w:val="20"/>
          <w:szCs w:val="20"/>
        </w:rPr>
        <w:t>（奢侈品管理）</w:t>
      </w:r>
      <w:r w:rsidRPr="008926D2">
        <w:rPr>
          <w:color w:val="000000"/>
          <w:sz w:val="20"/>
          <w:szCs w:val="20"/>
        </w:rPr>
        <w:t>】</w:t>
      </w:r>
    </w:p>
    <w:p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课程性质：</w:t>
      </w:r>
      <w:r w:rsidRPr="008926D2">
        <w:rPr>
          <w:color w:val="000000"/>
          <w:sz w:val="20"/>
          <w:szCs w:val="20"/>
        </w:rPr>
        <w:t>【</w:t>
      </w:r>
      <w:r w:rsidRPr="008926D2">
        <w:rPr>
          <w:rFonts w:hint="eastAsia"/>
          <w:color w:val="000000"/>
          <w:sz w:val="20"/>
          <w:szCs w:val="20"/>
        </w:rPr>
        <w:t>系级必修课</w:t>
      </w:r>
      <w:r w:rsidRPr="008926D2">
        <w:rPr>
          <w:color w:val="000000"/>
          <w:sz w:val="20"/>
          <w:szCs w:val="20"/>
        </w:rPr>
        <w:t>】</w:t>
      </w:r>
    </w:p>
    <w:p w:rsidR="00324C49" w:rsidRPr="008926D2" w:rsidRDefault="006428CD">
      <w:pPr>
        <w:snapToGrid w:val="0"/>
        <w:spacing w:line="288" w:lineRule="auto"/>
        <w:ind w:firstLineChars="196" w:firstLine="394"/>
        <w:rPr>
          <w:b/>
          <w:bCs/>
          <w:color w:val="000000"/>
          <w:szCs w:val="21"/>
        </w:rPr>
      </w:pPr>
      <w:r w:rsidRPr="008926D2">
        <w:rPr>
          <w:b/>
          <w:bCs/>
          <w:color w:val="000000"/>
          <w:sz w:val="20"/>
          <w:szCs w:val="20"/>
        </w:rPr>
        <w:t>开课院系：</w:t>
      </w:r>
      <w:r w:rsidR="00C46DF6" w:rsidRPr="008926D2">
        <w:rPr>
          <w:bCs/>
          <w:color w:val="000000"/>
          <w:sz w:val="20"/>
          <w:szCs w:val="20"/>
        </w:rPr>
        <w:t>珠宝学院</w:t>
      </w:r>
    </w:p>
    <w:p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使用教材：</w:t>
      </w:r>
    </w:p>
    <w:p w:rsidR="00324C49" w:rsidRPr="008926D2" w:rsidRDefault="006428CD">
      <w:pPr>
        <w:snapToGrid w:val="0"/>
        <w:spacing w:line="288" w:lineRule="auto"/>
        <w:ind w:firstLineChars="396" w:firstLine="792"/>
        <w:rPr>
          <w:color w:val="000000"/>
          <w:szCs w:val="21"/>
        </w:rPr>
      </w:pPr>
      <w:r w:rsidRPr="008926D2">
        <w:rPr>
          <w:color w:val="000000"/>
          <w:sz w:val="20"/>
          <w:szCs w:val="20"/>
        </w:rPr>
        <w:t>教材【</w:t>
      </w:r>
      <w:r w:rsidR="00C46DF6" w:rsidRPr="008926D2">
        <w:rPr>
          <w:color w:val="000000"/>
          <w:sz w:val="20"/>
          <w:szCs w:val="20"/>
        </w:rPr>
        <w:t>奢侈品战略：揭秘世界顶级奢侈品的品牌战略，</w:t>
      </w:r>
      <w:r w:rsidR="00C46DF6" w:rsidRPr="008926D2">
        <w:rPr>
          <w:color w:val="000000"/>
          <w:sz w:val="20"/>
          <w:szCs w:val="20"/>
        </w:rPr>
        <w:t>Vincent Bastien</w:t>
      </w:r>
      <w:r w:rsidR="00C46DF6" w:rsidRPr="008926D2">
        <w:rPr>
          <w:color w:val="000000"/>
          <w:sz w:val="20"/>
          <w:szCs w:val="20"/>
        </w:rPr>
        <w:t>，</w:t>
      </w:r>
      <w:r w:rsidR="00C46DF6" w:rsidRPr="008926D2">
        <w:rPr>
          <w:color w:val="000000"/>
          <w:sz w:val="20"/>
          <w:szCs w:val="20"/>
        </w:rPr>
        <w:t xml:space="preserve"> Jean-Noel </w:t>
      </w:r>
      <w:proofErr w:type="spellStart"/>
      <w:r w:rsidR="00C46DF6" w:rsidRPr="008926D2">
        <w:rPr>
          <w:color w:val="000000"/>
          <w:sz w:val="20"/>
          <w:szCs w:val="20"/>
        </w:rPr>
        <w:t>Kapferer</w:t>
      </w:r>
      <w:proofErr w:type="spellEnd"/>
      <w:r w:rsidR="00C46DF6" w:rsidRPr="008926D2">
        <w:rPr>
          <w:color w:val="000000"/>
          <w:sz w:val="20"/>
          <w:szCs w:val="20"/>
        </w:rPr>
        <w:t xml:space="preserve"> </w:t>
      </w:r>
      <w:r w:rsidR="00C46DF6" w:rsidRPr="008926D2">
        <w:rPr>
          <w:color w:val="000000"/>
          <w:sz w:val="20"/>
          <w:szCs w:val="20"/>
        </w:rPr>
        <w:t>，谢绮红译，</w:t>
      </w:r>
      <w:r w:rsidR="00C46DF6" w:rsidRPr="008926D2">
        <w:rPr>
          <w:rFonts w:hint="eastAsia"/>
          <w:color w:val="000000"/>
          <w:sz w:val="20"/>
          <w:szCs w:val="20"/>
        </w:rPr>
        <w:t>机械工业出版社，</w:t>
      </w:r>
      <w:r w:rsidR="00C46DF6" w:rsidRPr="008926D2">
        <w:rPr>
          <w:color w:val="000000"/>
          <w:sz w:val="20"/>
          <w:szCs w:val="20"/>
        </w:rPr>
        <w:t>2013-12-01</w:t>
      </w:r>
      <w:r w:rsidR="00C46DF6" w:rsidRPr="008926D2">
        <w:rPr>
          <w:color w:val="000000"/>
          <w:sz w:val="20"/>
          <w:szCs w:val="20"/>
        </w:rPr>
        <w:t>，</w:t>
      </w:r>
      <w:r w:rsidR="00C46DF6" w:rsidRPr="008926D2">
        <w:rPr>
          <w:rFonts w:hint="eastAsia"/>
          <w:color w:val="000000"/>
          <w:sz w:val="20"/>
          <w:szCs w:val="20"/>
        </w:rPr>
        <w:t>第</w:t>
      </w:r>
      <w:r w:rsidR="00C46DF6" w:rsidRPr="008926D2">
        <w:rPr>
          <w:rFonts w:hint="eastAsia"/>
          <w:color w:val="000000"/>
          <w:sz w:val="20"/>
          <w:szCs w:val="20"/>
        </w:rPr>
        <w:t>1</w:t>
      </w:r>
      <w:r w:rsidR="00C46DF6" w:rsidRPr="008926D2">
        <w:rPr>
          <w:rFonts w:hint="eastAsia"/>
          <w:color w:val="000000"/>
          <w:sz w:val="20"/>
          <w:szCs w:val="20"/>
        </w:rPr>
        <w:t>版，书号：</w:t>
      </w:r>
      <w:r w:rsidR="00C46DF6" w:rsidRPr="008926D2">
        <w:rPr>
          <w:color w:val="000000"/>
          <w:sz w:val="20"/>
          <w:szCs w:val="20"/>
        </w:rPr>
        <w:t>9787111439684</w:t>
      </w:r>
      <w:r w:rsidRPr="008926D2">
        <w:rPr>
          <w:color w:val="000000"/>
          <w:sz w:val="20"/>
          <w:szCs w:val="20"/>
        </w:rPr>
        <w:t>】</w:t>
      </w:r>
    </w:p>
    <w:p w:rsidR="00C46DF6" w:rsidRPr="008926D2" w:rsidRDefault="006428CD" w:rsidP="00C46DF6">
      <w:pPr>
        <w:rPr>
          <w:color w:val="000000"/>
          <w:sz w:val="20"/>
          <w:szCs w:val="20"/>
        </w:rPr>
      </w:pPr>
      <w:r w:rsidRPr="008926D2">
        <w:rPr>
          <w:color w:val="000000"/>
          <w:sz w:val="20"/>
          <w:szCs w:val="20"/>
        </w:rPr>
        <w:t>参考</w:t>
      </w:r>
      <w:r w:rsidRPr="008926D2">
        <w:rPr>
          <w:rFonts w:hint="eastAsia"/>
          <w:color w:val="000000"/>
          <w:sz w:val="20"/>
          <w:szCs w:val="20"/>
        </w:rPr>
        <w:t>书目</w:t>
      </w:r>
      <w:r w:rsidRPr="008926D2">
        <w:rPr>
          <w:color w:val="000000"/>
          <w:sz w:val="20"/>
          <w:szCs w:val="20"/>
        </w:rPr>
        <w:t>【</w:t>
      </w:r>
      <w:r w:rsidR="00C46DF6" w:rsidRPr="008926D2">
        <w:rPr>
          <w:rFonts w:hint="eastAsia"/>
          <w:color w:val="000000"/>
          <w:sz w:val="20"/>
          <w:szCs w:val="20"/>
        </w:rPr>
        <w:t>1</w:t>
      </w:r>
      <w:r w:rsidR="00C46DF6" w:rsidRPr="008926D2">
        <w:rPr>
          <w:rFonts w:hint="eastAsia"/>
          <w:color w:val="000000"/>
          <w:sz w:val="20"/>
          <w:szCs w:val="20"/>
        </w:rPr>
        <w:t>、</w:t>
      </w:r>
      <w:r w:rsidR="00C46DF6" w:rsidRPr="008926D2">
        <w:rPr>
          <w:color w:val="000000"/>
          <w:sz w:val="20"/>
          <w:szCs w:val="20"/>
        </w:rPr>
        <w:t>奢侈品品牌管理</w:t>
      </w:r>
      <w:r w:rsidR="00C46DF6" w:rsidRPr="008926D2">
        <w:rPr>
          <w:rFonts w:hint="eastAsia"/>
          <w:color w:val="000000"/>
          <w:sz w:val="20"/>
          <w:szCs w:val="20"/>
        </w:rPr>
        <w:t>——</w:t>
      </w:r>
      <w:r w:rsidR="00C46DF6" w:rsidRPr="008926D2">
        <w:rPr>
          <w:color w:val="000000"/>
          <w:sz w:val="20"/>
          <w:szCs w:val="20"/>
        </w:rPr>
        <w:t>方法与实</w:t>
      </w:r>
      <w:r w:rsidR="00C46DF6" w:rsidRPr="008926D2">
        <w:rPr>
          <w:rFonts w:hint="eastAsia"/>
          <w:color w:val="000000"/>
          <w:sz w:val="20"/>
          <w:szCs w:val="20"/>
        </w:rPr>
        <w:t>践，李杰，</w:t>
      </w:r>
      <w:r w:rsidR="00C46DF6" w:rsidRPr="008926D2">
        <w:rPr>
          <w:color w:val="000000"/>
          <w:sz w:val="20"/>
          <w:szCs w:val="20"/>
        </w:rPr>
        <w:t>2010</w:t>
      </w:r>
      <w:r w:rsidR="00C46DF6" w:rsidRPr="008926D2">
        <w:rPr>
          <w:color w:val="000000"/>
          <w:sz w:val="20"/>
          <w:szCs w:val="20"/>
        </w:rPr>
        <w:t>，北京大学出版</w:t>
      </w:r>
      <w:r w:rsidR="00C46DF6" w:rsidRPr="008926D2">
        <w:rPr>
          <w:rFonts w:hint="eastAsia"/>
          <w:color w:val="000000"/>
          <w:sz w:val="20"/>
          <w:szCs w:val="20"/>
        </w:rPr>
        <w:t>社。</w:t>
      </w:r>
    </w:p>
    <w:p w:rsidR="00C46DF6" w:rsidRPr="008926D2" w:rsidRDefault="00C46DF6" w:rsidP="00C46DF6">
      <w:pPr>
        <w:snapToGrid w:val="0"/>
        <w:rPr>
          <w:color w:val="000000"/>
          <w:sz w:val="20"/>
          <w:szCs w:val="20"/>
        </w:rPr>
      </w:pPr>
      <w:r w:rsidRPr="008926D2">
        <w:rPr>
          <w:color w:val="000000"/>
          <w:sz w:val="20"/>
          <w:szCs w:val="20"/>
        </w:rPr>
        <w:t>2</w:t>
      </w:r>
      <w:r w:rsidRPr="008926D2">
        <w:rPr>
          <w:color w:val="000000"/>
          <w:sz w:val="20"/>
          <w:szCs w:val="20"/>
        </w:rPr>
        <w:t>、奢侈品品牌管理（</w:t>
      </w:r>
      <w:r w:rsidRPr="008926D2">
        <w:rPr>
          <w:color w:val="000000"/>
          <w:sz w:val="20"/>
          <w:szCs w:val="20"/>
        </w:rPr>
        <w:t xml:space="preserve"> Luxury Brand Management</w:t>
      </w:r>
      <w:r w:rsidRPr="008926D2">
        <w:rPr>
          <w:color w:val="000000"/>
          <w:sz w:val="20"/>
          <w:szCs w:val="20"/>
        </w:rPr>
        <w:t>），</w:t>
      </w:r>
      <w:r w:rsidRPr="008926D2">
        <w:rPr>
          <w:color w:val="000000"/>
          <w:sz w:val="20"/>
          <w:szCs w:val="20"/>
        </w:rPr>
        <w:t>Michel Chevalier</w:t>
      </w:r>
      <w:r w:rsidRPr="008926D2">
        <w:rPr>
          <w:rFonts w:hint="eastAsia"/>
          <w:color w:val="000000"/>
          <w:sz w:val="20"/>
          <w:szCs w:val="20"/>
        </w:rPr>
        <w:t>，</w:t>
      </w:r>
      <w:r w:rsidRPr="008926D2">
        <w:rPr>
          <w:color w:val="000000"/>
          <w:sz w:val="20"/>
          <w:szCs w:val="20"/>
        </w:rPr>
        <w:t xml:space="preserve"> Gerald </w:t>
      </w:r>
      <w:proofErr w:type="spellStart"/>
      <w:r w:rsidRPr="008926D2">
        <w:rPr>
          <w:color w:val="000000"/>
          <w:sz w:val="20"/>
          <w:szCs w:val="20"/>
        </w:rPr>
        <w:t>Mazzalovo</w:t>
      </w:r>
      <w:proofErr w:type="spellEnd"/>
      <w:r w:rsidRPr="008926D2">
        <w:rPr>
          <w:rFonts w:hint="eastAsia"/>
          <w:color w:val="000000"/>
          <w:sz w:val="20"/>
          <w:szCs w:val="20"/>
        </w:rPr>
        <w:t>，</w:t>
      </w:r>
      <w:r w:rsidRPr="008926D2">
        <w:rPr>
          <w:color w:val="000000"/>
          <w:sz w:val="20"/>
          <w:szCs w:val="20"/>
        </w:rPr>
        <w:t xml:space="preserve"> Pierre Xiao Lu</w:t>
      </w:r>
      <w:r w:rsidRPr="008926D2">
        <w:rPr>
          <w:color w:val="000000"/>
          <w:sz w:val="20"/>
          <w:szCs w:val="20"/>
        </w:rPr>
        <w:t>，</w:t>
      </w:r>
      <w:r w:rsidRPr="008926D2">
        <w:rPr>
          <w:color w:val="000000"/>
          <w:sz w:val="20"/>
          <w:szCs w:val="20"/>
        </w:rPr>
        <w:t>2016</w:t>
      </w:r>
      <w:r w:rsidRPr="008926D2">
        <w:rPr>
          <w:color w:val="000000"/>
          <w:sz w:val="20"/>
          <w:szCs w:val="20"/>
        </w:rPr>
        <w:t>，</w:t>
      </w:r>
      <w:r w:rsidRPr="008926D2">
        <w:rPr>
          <w:rFonts w:hint="eastAsia"/>
          <w:color w:val="000000"/>
          <w:sz w:val="20"/>
          <w:szCs w:val="20"/>
        </w:rPr>
        <w:t>格致出版社与上海人民出版社。</w:t>
      </w:r>
    </w:p>
    <w:p w:rsidR="00324C49" w:rsidRPr="008926D2" w:rsidRDefault="00C46DF6" w:rsidP="00C46DF6">
      <w:pPr>
        <w:rPr>
          <w:color w:val="000000"/>
          <w:szCs w:val="21"/>
        </w:rPr>
      </w:pPr>
      <w:r w:rsidRPr="008926D2">
        <w:rPr>
          <w:rFonts w:hint="eastAsia"/>
          <w:color w:val="000000"/>
          <w:sz w:val="20"/>
          <w:szCs w:val="20"/>
        </w:rPr>
        <w:t>3</w:t>
      </w:r>
      <w:r w:rsidRPr="008926D2">
        <w:rPr>
          <w:rFonts w:hint="eastAsia"/>
          <w:color w:val="000000"/>
          <w:sz w:val="20"/>
          <w:szCs w:val="20"/>
        </w:rPr>
        <w:t>、奢侈品管理概论，赵秀忠、朱明侠、张小琳主编，对外经济贸易大学出版社，</w:t>
      </w:r>
      <w:r w:rsidRPr="008926D2">
        <w:rPr>
          <w:rFonts w:hint="eastAsia"/>
          <w:color w:val="000000"/>
          <w:sz w:val="20"/>
          <w:szCs w:val="20"/>
        </w:rPr>
        <w:t>2010</w:t>
      </w:r>
      <w:r w:rsidRPr="008926D2">
        <w:rPr>
          <w:rFonts w:hint="eastAsia"/>
          <w:color w:val="000000"/>
          <w:sz w:val="20"/>
          <w:szCs w:val="20"/>
        </w:rPr>
        <w:t>年</w:t>
      </w:r>
      <w:r w:rsidRPr="008926D2">
        <w:rPr>
          <w:rFonts w:hint="eastAsia"/>
          <w:color w:val="000000"/>
          <w:sz w:val="20"/>
          <w:szCs w:val="20"/>
        </w:rPr>
        <w:t>8</w:t>
      </w:r>
      <w:r w:rsidRPr="008926D2">
        <w:rPr>
          <w:rFonts w:hint="eastAsia"/>
          <w:color w:val="000000"/>
          <w:sz w:val="20"/>
          <w:szCs w:val="20"/>
        </w:rPr>
        <w:t>月第</w:t>
      </w:r>
      <w:r w:rsidRPr="008926D2">
        <w:rPr>
          <w:rFonts w:hint="eastAsia"/>
          <w:color w:val="000000"/>
          <w:sz w:val="20"/>
          <w:szCs w:val="20"/>
        </w:rPr>
        <w:t>1</w:t>
      </w:r>
      <w:r w:rsidRPr="008926D2">
        <w:rPr>
          <w:rFonts w:hint="eastAsia"/>
          <w:color w:val="000000"/>
          <w:sz w:val="20"/>
          <w:szCs w:val="20"/>
        </w:rPr>
        <w:t>版，高等院校奢侈品管理专业规划教材，北京市高等教育精品教材立项项目。</w:t>
      </w:r>
      <w:r w:rsidR="006428CD" w:rsidRPr="008926D2">
        <w:rPr>
          <w:color w:val="000000"/>
          <w:sz w:val="20"/>
          <w:szCs w:val="20"/>
        </w:rPr>
        <w:t>】</w:t>
      </w:r>
    </w:p>
    <w:p w:rsidR="00324C49" w:rsidRPr="008926D2" w:rsidRDefault="006428CD">
      <w:pPr>
        <w:snapToGrid w:val="0"/>
        <w:spacing w:line="288" w:lineRule="auto"/>
        <w:ind w:firstLineChars="196" w:firstLine="394"/>
        <w:rPr>
          <w:color w:val="000000"/>
          <w:sz w:val="20"/>
          <w:szCs w:val="20"/>
        </w:rPr>
      </w:pPr>
      <w:r w:rsidRPr="008926D2">
        <w:rPr>
          <w:rFonts w:hint="eastAsia"/>
          <w:b/>
          <w:bCs/>
          <w:color w:val="000000"/>
          <w:sz w:val="20"/>
          <w:szCs w:val="20"/>
        </w:rPr>
        <w:t>课程网站网址：</w:t>
      </w:r>
      <w:r w:rsidR="00C46DF6" w:rsidRPr="008926D2">
        <w:rPr>
          <w:rFonts w:hint="eastAsia"/>
          <w:b/>
          <w:bCs/>
          <w:color w:val="000000"/>
          <w:sz w:val="20"/>
          <w:szCs w:val="20"/>
        </w:rPr>
        <w:t>www</w:t>
      </w:r>
      <w:r w:rsidR="00C46DF6" w:rsidRPr="008926D2">
        <w:rPr>
          <w:b/>
          <w:bCs/>
          <w:color w:val="000000"/>
          <w:sz w:val="20"/>
          <w:szCs w:val="20"/>
        </w:rPr>
        <w:t>.gench.edu.cn</w:t>
      </w:r>
    </w:p>
    <w:p w:rsidR="0042337B" w:rsidRPr="008926D2" w:rsidRDefault="006428CD" w:rsidP="0042337B">
      <w:pPr>
        <w:adjustRightInd w:val="0"/>
        <w:snapToGrid w:val="0"/>
        <w:spacing w:line="288" w:lineRule="auto"/>
        <w:ind w:firstLineChars="196" w:firstLine="394"/>
        <w:rPr>
          <w:rFonts w:eastAsiaTheme="minorEastAsia"/>
          <w:color w:val="000000"/>
          <w:sz w:val="20"/>
          <w:szCs w:val="20"/>
        </w:rPr>
      </w:pPr>
      <w:r w:rsidRPr="008926D2">
        <w:rPr>
          <w:b/>
          <w:bCs/>
          <w:color w:val="000000"/>
          <w:sz w:val="20"/>
          <w:szCs w:val="20"/>
        </w:rPr>
        <w:t>先修课程：</w:t>
      </w:r>
      <w:r w:rsidRPr="008926D2">
        <w:rPr>
          <w:color w:val="000000"/>
          <w:sz w:val="20"/>
          <w:szCs w:val="20"/>
        </w:rPr>
        <w:t>【</w:t>
      </w:r>
      <w:r w:rsidR="0042337B" w:rsidRPr="008926D2">
        <w:rPr>
          <w:rFonts w:hint="eastAsia"/>
          <w:color w:val="000000"/>
          <w:sz w:val="20"/>
          <w:szCs w:val="20"/>
        </w:rPr>
        <w:t>经济学（双语）</w:t>
      </w:r>
      <w:r w:rsidR="0042337B" w:rsidRPr="008926D2">
        <w:rPr>
          <w:color w:val="000000"/>
          <w:sz w:val="20"/>
          <w:szCs w:val="20"/>
        </w:rPr>
        <w:t xml:space="preserve"> 2060533    </w:t>
      </w:r>
      <w:r w:rsidR="0042337B" w:rsidRPr="008926D2">
        <w:rPr>
          <w:rFonts w:hint="eastAsia"/>
          <w:color w:val="000000"/>
          <w:sz w:val="20"/>
          <w:szCs w:val="20"/>
        </w:rPr>
        <w:t>（</w:t>
      </w:r>
      <w:r w:rsidR="0042337B" w:rsidRPr="008926D2">
        <w:rPr>
          <w:color w:val="000000"/>
          <w:sz w:val="20"/>
          <w:szCs w:val="20"/>
        </w:rPr>
        <w:t xml:space="preserve"> 4</w:t>
      </w:r>
      <w:r w:rsidR="0042337B" w:rsidRPr="008926D2">
        <w:rPr>
          <w:rFonts w:hint="eastAsia"/>
          <w:color w:val="000000"/>
          <w:sz w:val="20"/>
          <w:szCs w:val="20"/>
        </w:rPr>
        <w:t>学分）</w:t>
      </w:r>
    </w:p>
    <w:p w:rsidR="00324C49" w:rsidRPr="008926D2" w:rsidRDefault="0042337B" w:rsidP="0042337B">
      <w:pPr>
        <w:adjustRightInd w:val="0"/>
        <w:snapToGrid w:val="0"/>
        <w:spacing w:line="288" w:lineRule="auto"/>
        <w:ind w:firstLineChars="696" w:firstLine="1392"/>
        <w:rPr>
          <w:color w:val="000000"/>
          <w:sz w:val="20"/>
          <w:szCs w:val="20"/>
        </w:rPr>
      </w:pPr>
      <w:r w:rsidRPr="008926D2">
        <w:rPr>
          <w:rFonts w:hint="eastAsia"/>
          <w:color w:val="000000"/>
          <w:sz w:val="20"/>
          <w:szCs w:val="20"/>
        </w:rPr>
        <w:t>管理学（双语）</w:t>
      </w:r>
      <w:r w:rsidRPr="008926D2">
        <w:rPr>
          <w:color w:val="000000"/>
          <w:sz w:val="20"/>
          <w:szCs w:val="20"/>
        </w:rPr>
        <w:t xml:space="preserve">   2120052        </w:t>
      </w:r>
      <w:r w:rsidRPr="008926D2">
        <w:rPr>
          <w:rFonts w:hint="eastAsia"/>
          <w:color w:val="000000"/>
          <w:sz w:val="20"/>
          <w:szCs w:val="20"/>
        </w:rPr>
        <w:t>（</w:t>
      </w:r>
      <w:r w:rsidRPr="008926D2">
        <w:rPr>
          <w:color w:val="000000"/>
          <w:sz w:val="20"/>
          <w:szCs w:val="20"/>
        </w:rPr>
        <w:t>3</w:t>
      </w:r>
      <w:r w:rsidRPr="008926D2">
        <w:rPr>
          <w:rFonts w:hint="eastAsia"/>
          <w:color w:val="000000"/>
          <w:sz w:val="20"/>
          <w:szCs w:val="20"/>
        </w:rPr>
        <w:t>学分）</w:t>
      </w:r>
      <w:r w:rsidR="006428CD" w:rsidRPr="008926D2">
        <w:rPr>
          <w:color w:val="000000"/>
          <w:sz w:val="20"/>
          <w:szCs w:val="20"/>
        </w:rPr>
        <w:t>】</w:t>
      </w:r>
    </w:p>
    <w:p w:rsidR="00324C49" w:rsidRPr="008926D2" w:rsidRDefault="006428CD" w:rsidP="00EC2591">
      <w:pPr>
        <w:adjustRightInd w:val="0"/>
        <w:snapToGrid w:val="0"/>
        <w:spacing w:beforeLines="50" w:afterLines="50" w:line="288" w:lineRule="auto"/>
        <w:ind w:firstLineChars="145" w:firstLine="348"/>
        <w:rPr>
          <w:b/>
          <w:color w:val="000000"/>
          <w:sz w:val="24"/>
          <w:szCs w:val="20"/>
        </w:rPr>
      </w:pPr>
      <w:r w:rsidRPr="008926D2">
        <w:rPr>
          <w:rFonts w:ascii="SimHei" w:eastAsia="SimHei" w:hAnsi="宋体"/>
          <w:sz w:val="24"/>
        </w:rPr>
        <w:t>二</w:t>
      </w:r>
      <w:r w:rsidRPr="008926D2">
        <w:rPr>
          <w:rFonts w:ascii="SimHei" w:eastAsia="SimHei" w:hAnsi="宋体" w:hint="eastAsia"/>
          <w:sz w:val="24"/>
        </w:rPr>
        <w:t>、</w:t>
      </w:r>
      <w:r w:rsidRPr="008926D2">
        <w:rPr>
          <w:rFonts w:ascii="SimHei" w:eastAsia="SimHei" w:hAnsi="宋体"/>
          <w:sz w:val="24"/>
        </w:rPr>
        <w:t>课程简介（必填项）</w:t>
      </w:r>
    </w:p>
    <w:p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此处概述课程</w:t>
      </w:r>
      <w:r w:rsidRPr="008926D2">
        <w:rPr>
          <w:rFonts w:hint="eastAsia"/>
          <w:color w:val="000000"/>
          <w:sz w:val="20"/>
          <w:szCs w:val="20"/>
        </w:rPr>
        <w:t>的研究对象及课程在专业中的作用与地位</w:t>
      </w:r>
      <w:r w:rsidRPr="008926D2">
        <w:rPr>
          <w:color w:val="000000"/>
          <w:sz w:val="20"/>
          <w:szCs w:val="20"/>
        </w:rPr>
        <w:t>，使学生对该课程有一个总体了解。</w:t>
      </w:r>
      <w:r w:rsidRPr="008926D2">
        <w:rPr>
          <w:rFonts w:hint="eastAsia"/>
          <w:color w:val="000000"/>
          <w:sz w:val="20"/>
          <w:szCs w:val="20"/>
        </w:rPr>
        <w:t>（</w:t>
      </w:r>
      <w:r w:rsidRPr="008926D2">
        <w:rPr>
          <w:rFonts w:hint="eastAsia"/>
          <w:color w:val="000000"/>
          <w:sz w:val="20"/>
          <w:szCs w:val="20"/>
        </w:rPr>
        <w:t>300-400</w:t>
      </w:r>
      <w:r w:rsidRPr="008926D2">
        <w:rPr>
          <w:rFonts w:hint="eastAsia"/>
          <w:color w:val="000000"/>
          <w:sz w:val="20"/>
          <w:szCs w:val="20"/>
        </w:rPr>
        <w:t>字）</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《奢侈品品牌管理（双语）》课程是上海建桥学院珠宝学院工商管理（奢侈品管理）专业的专业主干课程。总课时数为</w:t>
      </w:r>
      <w:r w:rsidRPr="008926D2">
        <w:rPr>
          <w:rFonts w:hint="eastAsia"/>
          <w:color w:val="000000"/>
          <w:sz w:val="20"/>
          <w:szCs w:val="20"/>
        </w:rPr>
        <w:t>32</w:t>
      </w:r>
      <w:r w:rsidRPr="008926D2">
        <w:rPr>
          <w:rFonts w:hint="eastAsia"/>
          <w:color w:val="000000"/>
          <w:sz w:val="20"/>
          <w:szCs w:val="20"/>
        </w:rPr>
        <w:t>课时。</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（一）课程目标</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lastRenderedPageBreak/>
        <w:t>我们培养的学生作为未来的奢侈品品牌管理者和从业者，通过这门课程的学习，希望学生可以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为标的品牌构建初步的品牌发展战略和执行计划。</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（二）课程特色与亮点</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教学内容系统、清晰、严谨，逐层递进，结合大量案例和样本，便于学生理解和实践操作；</w:t>
      </w:r>
      <w:r w:rsidRPr="008926D2">
        <w:rPr>
          <w:color w:val="000000"/>
          <w:sz w:val="20"/>
          <w:szCs w:val="20"/>
        </w:rPr>
        <w:t xml:space="preserve"> </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分享大量第一手的国内外品牌管理与营销案例和最新国际案例样本资料，开阔学生们的眼界和思路</w:t>
      </w:r>
      <w:r w:rsidRPr="008926D2">
        <w:rPr>
          <w:color w:val="000000"/>
          <w:sz w:val="20"/>
          <w:szCs w:val="20"/>
        </w:rPr>
        <w:t>。</w:t>
      </w:r>
    </w:p>
    <w:p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根据学生自身特点与兴趣爱好，打造其个性化品牌管理和经营战略，有助于学生创新创业。</w:t>
      </w:r>
      <w:r w:rsidRPr="008926D2">
        <w:rPr>
          <w:color w:val="000000"/>
          <w:sz w:val="20"/>
          <w:szCs w:val="20"/>
        </w:rPr>
        <w:t xml:space="preserve"> </w:t>
      </w:r>
    </w:p>
    <w:p w:rsidR="00324C49" w:rsidRPr="008926D2" w:rsidRDefault="006428CD" w:rsidP="00EC2591">
      <w:pPr>
        <w:widowControl/>
        <w:spacing w:beforeLines="50" w:afterLines="50" w:line="288" w:lineRule="auto"/>
        <w:ind w:firstLineChars="150" w:firstLine="360"/>
        <w:jc w:val="left"/>
        <w:rPr>
          <w:rFonts w:ascii="SimHei" w:eastAsia="SimHei" w:hAnsi="宋体" w:hint="eastAsia"/>
          <w:sz w:val="24"/>
        </w:rPr>
      </w:pPr>
      <w:r w:rsidRPr="008926D2">
        <w:rPr>
          <w:rFonts w:ascii="SimHei" w:eastAsia="SimHei" w:hAnsi="宋体"/>
          <w:sz w:val="24"/>
        </w:rPr>
        <w:t>三</w:t>
      </w:r>
      <w:r w:rsidRPr="008926D2">
        <w:rPr>
          <w:rFonts w:ascii="SimHei" w:eastAsia="SimHei" w:hAnsi="宋体" w:hint="eastAsia"/>
          <w:sz w:val="24"/>
        </w:rPr>
        <w:t>、</w:t>
      </w:r>
      <w:r w:rsidRPr="008926D2">
        <w:rPr>
          <w:rFonts w:ascii="SimHei" w:eastAsia="SimHei" w:hAnsi="宋体"/>
          <w:sz w:val="24"/>
        </w:rPr>
        <w:t>选课建议（必填项）</w:t>
      </w:r>
    </w:p>
    <w:p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此处给出该课程的选课建议，例如适合专业、年级、学习基础要求等建议。</w:t>
      </w:r>
    </w:p>
    <w:p w:rsidR="0042337B" w:rsidRPr="008926D2" w:rsidRDefault="0042337B" w:rsidP="0042337B">
      <w:pPr>
        <w:snapToGrid w:val="0"/>
        <w:spacing w:line="288" w:lineRule="auto"/>
        <w:ind w:leftChars="200" w:left="420"/>
        <w:rPr>
          <w:color w:val="000000"/>
          <w:sz w:val="20"/>
          <w:szCs w:val="20"/>
        </w:rPr>
      </w:pPr>
      <w:r w:rsidRPr="008926D2">
        <w:rPr>
          <w:rFonts w:hint="eastAsia"/>
          <w:color w:val="000000"/>
          <w:sz w:val="20"/>
          <w:szCs w:val="20"/>
        </w:rPr>
        <w:t>此课程适合本科专业学生在大二第二学期或大三第一学期学习，一般应具备相应的经济学、管理学知识，和一定的分析问题、解决问题的能力。</w:t>
      </w:r>
    </w:p>
    <w:p w:rsidR="00324C49" w:rsidRPr="008926D2" w:rsidRDefault="006428CD" w:rsidP="00EC2591">
      <w:pPr>
        <w:widowControl/>
        <w:spacing w:beforeLines="50" w:afterLines="50" w:line="288" w:lineRule="auto"/>
        <w:ind w:firstLineChars="150" w:firstLine="360"/>
        <w:jc w:val="left"/>
        <w:rPr>
          <w:rFonts w:ascii="SimHei" w:eastAsia="SimHei" w:hAnsi="宋体" w:hint="eastAsia"/>
          <w:sz w:val="24"/>
        </w:rPr>
      </w:pPr>
      <w:r w:rsidRPr="008926D2">
        <w:rPr>
          <w:rFonts w:ascii="SimHei" w:eastAsia="SimHei" w:hAnsi="宋体"/>
          <w:sz w:val="24"/>
        </w:rPr>
        <w:t>四</w:t>
      </w:r>
      <w:r w:rsidRPr="008926D2">
        <w:rPr>
          <w:rFonts w:ascii="SimHei" w:eastAsia="SimHei" w:hAnsi="宋体" w:hint="eastAsia"/>
          <w:sz w:val="24"/>
        </w:rPr>
        <w:t>、</w:t>
      </w:r>
      <w:r w:rsidRPr="008926D2">
        <w:rPr>
          <w:rFonts w:ascii="SimHei" w:eastAsia="SimHei" w:hAnsi="宋体"/>
          <w:sz w:val="24"/>
        </w:rPr>
        <w:t>课程与</w:t>
      </w:r>
      <w:r w:rsidRPr="008926D2">
        <w:rPr>
          <w:rFonts w:ascii="SimHei" w:eastAsia="SimHei" w:hAnsi="宋体" w:hint="eastAsia"/>
          <w:sz w:val="24"/>
        </w:rPr>
        <w:t>专业毕业要求</w:t>
      </w:r>
      <w:r w:rsidRPr="008926D2">
        <w:rPr>
          <w:rFonts w:ascii="SimHei" w:eastAsia="SimHei" w:hAnsi="宋体"/>
          <w:sz w:val="24"/>
        </w:rPr>
        <w:t>的关联性（必填项）</w:t>
      </w:r>
    </w:p>
    <w:tbl>
      <w:tblPr>
        <w:tblStyle w:val="TableGrid"/>
        <w:tblpPr w:leftFromText="180" w:rightFromText="180" w:vertAnchor="text" w:horzAnchor="page" w:tblpX="2375" w:tblpY="242"/>
        <w:tblOverlap w:val="never"/>
        <w:tblW w:w="7530" w:type="dxa"/>
        <w:tblLayout w:type="fixed"/>
        <w:tblLook w:val="04A0"/>
      </w:tblPr>
      <w:tblGrid>
        <w:gridCol w:w="6803"/>
        <w:gridCol w:w="727"/>
      </w:tblGrid>
      <w:tr w:rsidR="0042337B" w:rsidRPr="008926D2" w:rsidTr="00995F8E">
        <w:tc>
          <w:tcPr>
            <w:tcW w:w="6803" w:type="dxa"/>
          </w:tcPr>
          <w:p w:rsidR="0042337B" w:rsidRPr="008926D2" w:rsidRDefault="0042337B" w:rsidP="00995F8E">
            <w:pPr>
              <w:spacing w:after="0" w:line="240" w:lineRule="auto"/>
              <w:jc w:val="center"/>
              <w:rPr>
                <w:rFonts w:ascii="SimHei" w:eastAsia="SimHei" w:hAnsi="SimHei" w:cs="SimHei"/>
                <w:kern w:val="0"/>
                <w:sz w:val="20"/>
                <w:szCs w:val="20"/>
              </w:rPr>
            </w:pPr>
            <w:r w:rsidRPr="008926D2">
              <w:rPr>
                <w:rFonts w:ascii="SimHei" w:eastAsia="SimHei" w:hAnsi="SimHei" w:cs="SimHei" w:hint="eastAsia"/>
                <w:kern w:val="0"/>
                <w:sz w:val="20"/>
                <w:szCs w:val="20"/>
              </w:rPr>
              <w:t>专业毕业要求</w:t>
            </w:r>
          </w:p>
        </w:tc>
        <w:tc>
          <w:tcPr>
            <w:tcW w:w="727" w:type="dxa"/>
          </w:tcPr>
          <w:p w:rsidR="0042337B" w:rsidRPr="008926D2" w:rsidRDefault="0042337B" w:rsidP="00995F8E">
            <w:pPr>
              <w:spacing w:after="0" w:line="240" w:lineRule="auto"/>
              <w:jc w:val="center"/>
              <w:rPr>
                <w:rFonts w:ascii="SimHei" w:eastAsia="SimHei" w:hAnsi="SimHei" w:cs="SimHei"/>
                <w:kern w:val="0"/>
                <w:sz w:val="20"/>
                <w:szCs w:val="20"/>
              </w:rPr>
            </w:pPr>
            <w:r w:rsidRPr="008926D2">
              <w:rPr>
                <w:rFonts w:ascii="SimHei" w:eastAsia="SimHei" w:hAnsi="SimHei" w:cs="SimHei" w:hint="eastAsia"/>
                <w:kern w:val="0"/>
                <w:sz w:val="20"/>
                <w:szCs w:val="20"/>
              </w:rPr>
              <w:t>关联</w:t>
            </w: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LO11：</w:t>
            </w:r>
            <w:r w:rsidRPr="008926D2">
              <w:rPr>
                <w:rFonts w:ascii="KaiTi_GB2312" w:eastAsia="KaiTi_GB2312" w:hAnsi="KaiTi_GB2312" w:hint="eastAsia"/>
                <w:sz w:val="24"/>
              </w:rPr>
              <w:t>表达沟通</w:t>
            </w:r>
          </w:p>
          <w:p w:rsidR="0042337B" w:rsidRPr="008926D2" w:rsidRDefault="0042337B" w:rsidP="00995F8E">
            <w:pPr>
              <w:spacing w:after="0" w:line="240" w:lineRule="auto"/>
              <w:ind w:firstLineChars="177" w:firstLine="425"/>
              <w:rPr>
                <w:kern w:val="0"/>
                <w:sz w:val="20"/>
                <w:szCs w:val="20"/>
              </w:rPr>
            </w:pPr>
            <w:r w:rsidRPr="008926D2">
              <w:rPr>
                <w:rFonts w:ascii="KaiTi_GB2312" w:eastAsia="KaiTi_GB2312" w:hAnsi="KaiTi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rsidR="0042337B" w:rsidRPr="008926D2" w:rsidRDefault="0042337B" w:rsidP="00995F8E">
            <w:pPr>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LO21：</w:t>
            </w:r>
            <w:r w:rsidRPr="008926D2">
              <w:rPr>
                <w:rFonts w:ascii="KaiTi_GB2312" w:eastAsia="KaiTi_GB2312" w:hAnsi="KaiTi_GB2312" w:hint="eastAsia"/>
                <w:sz w:val="24"/>
              </w:rPr>
              <w:t>自主学习</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LO31：</w:t>
            </w:r>
            <w:r w:rsidRPr="008926D2">
              <w:rPr>
                <w:rFonts w:ascii="KaiTi_GB2312" w:eastAsia="KaiTi_GB2312" w:hAnsi="KaiTi_GB2312" w:hint="eastAsia"/>
                <w:sz w:val="24"/>
              </w:rPr>
              <w:t>奢侈品市场营销</w:t>
            </w:r>
          </w:p>
          <w:p w:rsidR="00FA2045" w:rsidRPr="008926D2" w:rsidRDefault="0042337B" w:rsidP="00FA2045">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熟悉珠宝和奢侈品行市场分析和品牌定位的方法，制定品牌</w:t>
            </w:r>
            <w:r w:rsidRPr="008926D2">
              <w:rPr>
                <w:rFonts w:ascii="KaiTi_GB2312" w:eastAsia="KaiTi_GB2312" w:hAnsi="KaiTi_GB2312" w:hint="eastAsia"/>
                <w:sz w:val="24"/>
              </w:rPr>
              <w:lastRenderedPageBreak/>
              <w:t>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rsidR="0042337B" w:rsidRPr="008926D2" w:rsidRDefault="00FA2045" w:rsidP="00995F8E">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lastRenderedPageBreak/>
              <w:sym w:font="Wingdings 2" w:char="F098"/>
            </w: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lastRenderedPageBreak/>
              <w:t>LO32：</w:t>
            </w:r>
            <w:r w:rsidRPr="008926D2">
              <w:rPr>
                <w:rFonts w:ascii="KaiTi_GB2312" w:eastAsia="KaiTi_GB2312" w:hAnsi="KaiTi_GB2312" w:hint="eastAsia"/>
                <w:sz w:val="24"/>
              </w:rPr>
              <w:t>经济分析</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LO33：</w:t>
            </w:r>
            <w:r w:rsidRPr="008926D2">
              <w:rPr>
                <w:rFonts w:ascii="KaiTi_GB2312" w:eastAsia="KaiTi_GB2312" w:hAnsi="KaiTi_GB2312" w:hint="eastAsia"/>
                <w:sz w:val="24"/>
              </w:rPr>
              <w:t>奢侈品零售管理</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LO34：</w:t>
            </w:r>
            <w:r w:rsidRPr="008926D2">
              <w:rPr>
                <w:rFonts w:ascii="KaiTi_GB2312" w:eastAsia="KaiTi_GB2312" w:hAnsi="KaiTi_GB2312" w:hint="eastAsia"/>
                <w:sz w:val="24"/>
              </w:rPr>
              <w:t>财务管理</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清楚资金的筹集、投资、运营、分配；掌握财务计划与决策、财务预算与控制；具备一定的财务分析与考核等财务管理基本能力。</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LO35：</w:t>
            </w:r>
            <w:r w:rsidRPr="008926D2">
              <w:rPr>
                <w:rFonts w:ascii="KaiTi_GB2312" w:eastAsia="KaiTi_GB2312" w:hAnsi="KaiTi_GB2312" w:hint="eastAsia"/>
                <w:sz w:val="24"/>
              </w:rPr>
              <w:t>项目管理</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熟悉项目范围、项目时间、项目成本、项目质量、项目人员管理和业务策划；熟悉项目风险、项目采购。</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LO36：</w:t>
            </w:r>
            <w:r w:rsidRPr="008926D2">
              <w:rPr>
                <w:rFonts w:ascii="KaiTi_GB2312" w:eastAsia="KaiTi_GB2312" w:hAnsi="KaiTi_GB2312" w:hint="eastAsia"/>
                <w:sz w:val="24"/>
              </w:rPr>
              <w:t>调查预测能力</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熟悉调查方案的策划，调查问卷的设计；掌握常用的资料分析与预测方法；熟悉调查报告的写作。</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LO37：</w:t>
            </w:r>
            <w:r w:rsidRPr="008926D2">
              <w:rPr>
                <w:rFonts w:ascii="KaiTi_GB2312" w:eastAsia="KaiTi_GB2312" w:hAnsi="KaiTi_GB2312" w:hint="eastAsia"/>
                <w:sz w:val="24"/>
              </w:rPr>
              <w:t>珠宝能力</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LO41：</w:t>
            </w:r>
            <w:r w:rsidRPr="008926D2">
              <w:rPr>
                <w:rFonts w:ascii="KaiTi_GB2312" w:eastAsia="KaiTi_GB2312" w:hAnsi="KaiTi_GB2312" w:hint="eastAsia"/>
                <w:sz w:val="24"/>
              </w:rPr>
              <w:t>尽责抗压</w:t>
            </w:r>
          </w:p>
          <w:p w:rsidR="00FA2045" w:rsidRPr="008926D2" w:rsidRDefault="0042337B" w:rsidP="00FA2045">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遵守纪律、守信守责；具有耐挫折、抗压力的能力，并能够顺利完成相应地工作学习任务。</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LO51：</w:t>
            </w:r>
            <w:r w:rsidRPr="008926D2">
              <w:rPr>
                <w:rFonts w:ascii="KaiTi_GB2312" w:eastAsia="KaiTi_GB2312" w:hAnsi="KaiTi_GB2312" w:hint="eastAsia"/>
                <w:sz w:val="24"/>
              </w:rPr>
              <w:t>协同创新</w:t>
            </w:r>
          </w:p>
          <w:p w:rsidR="00FA2045" w:rsidRPr="008926D2" w:rsidRDefault="0042337B" w:rsidP="00A155B5">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同工作学习伙伴保持良好的关系，团结互助、齐心协力，做团队或集体中的积极成员；善于从多个维度思考问题，善于利用自己掌握的知识与技能，在设计实践中提出新颖的构思和设</w:t>
            </w:r>
            <w:r w:rsidRPr="008926D2">
              <w:rPr>
                <w:rFonts w:ascii="KaiTi_GB2312" w:eastAsia="KaiTi_GB2312" w:hAnsi="KaiTi_GB2312" w:hint="eastAsia"/>
                <w:sz w:val="24"/>
              </w:rPr>
              <w:lastRenderedPageBreak/>
              <w:t>想。</w:t>
            </w:r>
          </w:p>
        </w:tc>
        <w:tc>
          <w:tcPr>
            <w:tcW w:w="727" w:type="dxa"/>
            <w:vAlign w:val="center"/>
          </w:tcPr>
          <w:p w:rsidR="0042337B" w:rsidRPr="008926D2" w:rsidRDefault="00FA2045" w:rsidP="00995F8E">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lastRenderedPageBreak/>
              <w:sym w:font="Wingdings 2" w:char="F098"/>
            </w:r>
          </w:p>
        </w:tc>
      </w:tr>
      <w:tr w:rsidR="0042337B" w:rsidRPr="008926D2" w:rsidTr="00995F8E">
        <w:trPr>
          <w:trHeight w:val="363"/>
        </w:trPr>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lastRenderedPageBreak/>
              <w:t>LO61：</w:t>
            </w:r>
            <w:r w:rsidRPr="008926D2">
              <w:rPr>
                <w:rFonts w:ascii="KaiTi_GB2312" w:eastAsia="KaiTi_GB2312" w:hAnsi="KaiTi_GB2312" w:hint="eastAsia"/>
                <w:sz w:val="24"/>
              </w:rPr>
              <w:t>信息应用</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具备信息素养和运用科技信息技术的能力，并能熟练操作各项办公软件和图像、图形处理软件。</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LO71：</w:t>
            </w:r>
            <w:r w:rsidRPr="008926D2">
              <w:rPr>
                <w:rFonts w:ascii="KaiTi_GB2312" w:eastAsia="KaiTi_GB2312" w:hAnsi="KaiTi_GB2312" w:hint="eastAsia"/>
                <w:sz w:val="24"/>
              </w:rPr>
              <w:t>服务关爱</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愿意服务他人、服务企业、服务社会；为人热忱，富于爱心，懂得感恩，甘于奉献。</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rsidTr="00995F8E">
        <w:tc>
          <w:tcPr>
            <w:tcW w:w="6803" w:type="dxa"/>
            <w:vAlign w:val="center"/>
          </w:tcPr>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仿宋" w:eastAsia="仿宋" w:hAnsi="仿宋" w:cs="宋体" w:hint="eastAsia"/>
                <w:color w:val="000000"/>
                <w:kern w:val="0"/>
                <w:sz w:val="24"/>
              </w:rPr>
              <w:t>LO81：</w:t>
            </w:r>
            <w:r w:rsidRPr="008926D2">
              <w:rPr>
                <w:rFonts w:ascii="KaiTi_GB2312" w:eastAsia="KaiTi_GB2312" w:hAnsi="KaiTi_GB2312" w:hint="eastAsia"/>
                <w:sz w:val="24"/>
              </w:rPr>
              <w:t>国际视野</w:t>
            </w:r>
          </w:p>
          <w:p w:rsidR="0042337B" w:rsidRPr="008926D2" w:rsidRDefault="0042337B" w:rsidP="00995F8E">
            <w:pPr>
              <w:spacing w:after="0" w:line="240" w:lineRule="auto"/>
              <w:ind w:firstLineChars="177" w:firstLine="425"/>
              <w:rPr>
                <w:rFonts w:ascii="KaiTi_GB2312" w:eastAsia="KaiTi_GB2312" w:hAnsi="KaiTi_GB2312"/>
                <w:sz w:val="24"/>
              </w:rPr>
            </w:pPr>
            <w:r w:rsidRPr="008926D2">
              <w:rPr>
                <w:rFonts w:ascii="KaiTi_GB2312" w:eastAsia="KaiTi_GB2312" w:hAnsi="KaiTi_GB2312" w:hint="eastAsia"/>
                <w:sz w:val="24"/>
              </w:rPr>
              <w:t>具有外语能力，能够阅读外文专业图书和资料，同时对专业范围中跨文化的设计具有理解能力，有国际竞争与合作的意识。</w:t>
            </w:r>
          </w:p>
        </w:tc>
        <w:tc>
          <w:tcPr>
            <w:tcW w:w="727" w:type="dxa"/>
            <w:vAlign w:val="center"/>
          </w:tcPr>
          <w:p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bl>
    <w:p w:rsidR="00324C49" w:rsidRPr="008926D2" w:rsidRDefault="006428CD">
      <w:pPr>
        <w:ind w:firstLineChars="200" w:firstLine="420"/>
      </w:pPr>
      <w:r w:rsidRPr="008926D2">
        <w:rPr>
          <w:rFonts w:hint="eastAsia"/>
        </w:rPr>
        <w:t>备注：</w:t>
      </w:r>
      <w:r w:rsidRPr="008926D2">
        <w:rPr>
          <w:rFonts w:hint="eastAsia"/>
        </w:rPr>
        <w:t>LO=</w:t>
      </w:r>
      <w:r w:rsidRPr="008926D2">
        <w:t>learning outcomes</w:t>
      </w:r>
      <w:r w:rsidRPr="008926D2">
        <w:rPr>
          <w:rFonts w:hint="eastAsia"/>
        </w:rPr>
        <w:t>（学习成果）</w:t>
      </w:r>
    </w:p>
    <w:p w:rsidR="00324C49" w:rsidRPr="008926D2" w:rsidRDefault="006428CD" w:rsidP="00EC2591">
      <w:pPr>
        <w:widowControl/>
        <w:spacing w:beforeLines="50" w:afterLines="50" w:line="288" w:lineRule="auto"/>
        <w:ind w:firstLineChars="150" w:firstLine="360"/>
        <w:jc w:val="left"/>
        <w:rPr>
          <w:rFonts w:ascii="SimHei" w:eastAsia="SimHei" w:hAnsi="宋体" w:hint="eastAsia"/>
          <w:sz w:val="24"/>
        </w:rPr>
      </w:pPr>
      <w:r w:rsidRPr="008926D2">
        <w:rPr>
          <w:rFonts w:ascii="SimHei" w:eastAsia="SimHei" w:hAnsi="宋体" w:hint="eastAsia"/>
          <w:sz w:val="24"/>
        </w:rPr>
        <w:t>五、</w:t>
      </w:r>
      <w:r w:rsidRPr="008926D2">
        <w:rPr>
          <w:rFonts w:ascii="SimHei" w:eastAsia="SimHei" w:hAnsi="宋体"/>
          <w:sz w:val="24"/>
        </w:rPr>
        <w:t>课程</w:t>
      </w:r>
      <w:r w:rsidRPr="008926D2">
        <w:rPr>
          <w:rFonts w:ascii="SimHei" w:eastAsia="SimHei" w:hAnsi="宋体" w:hint="eastAsia"/>
          <w:sz w:val="24"/>
        </w:rPr>
        <w:t>目标/课程预期学习成果</w:t>
      </w:r>
      <w:r w:rsidRPr="008926D2">
        <w:rPr>
          <w:rFonts w:ascii="SimHei" w:eastAsia="SimHei" w:hAnsi="宋体"/>
          <w:sz w:val="24"/>
        </w:rPr>
        <w:t>（必填项）（</w:t>
      </w:r>
      <w:r w:rsidRPr="008926D2">
        <w:rPr>
          <w:rFonts w:ascii="SimHei" w:eastAsia="SimHei" w:hAnsi="宋体" w:hint="eastAsia"/>
          <w:sz w:val="24"/>
        </w:rPr>
        <w:t>预期学习成果</w:t>
      </w:r>
      <w:r w:rsidRPr="008926D2">
        <w:rPr>
          <w:rFonts w:ascii="SimHei" w:eastAsia="SimHei" w:hAnsi="宋体"/>
          <w:sz w:val="24"/>
        </w:rPr>
        <w:t>要可测量/能够证明）</w:t>
      </w:r>
    </w:p>
    <w:p w:rsidR="00324C49" w:rsidRPr="008926D2" w:rsidRDefault="006428CD">
      <w:pPr>
        <w:spacing w:line="360" w:lineRule="auto"/>
        <w:ind w:firstLineChars="250" w:firstLine="500"/>
        <w:rPr>
          <w:sz w:val="20"/>
          <w:szCs w:val="20"/>
        </w:rPr>
      </w:pPr>
      <w:r w:rsidRPr="008926D2">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934"/>
        <w:gridCol w:w="1735"/>
        <w:gridCol w:w="1276"/>
      </w:tblGrid>
      <w:tr w:rsidR="00324C49" w:rsidRPr="008926D2" w:rsidTr="00550C43">
        <w:tc>
          <w:tcPr>
            <w:tcW w:w="535" w:type="dxa"/>
            <w:shd w:val="clear" w:color="auto" w:fill="auto"/>
          </w:tcPr>
          <w:p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课程预期</w:t>
            </w:r>
          </w:p>
          <w:p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课程目标</w:t>
            </w:r>
          </w:p>
          <w:p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教与学方式</w:t>
            </w:r>
          </w:p>
        </w:tc>
        <w:tc>
          <w:tcPr>
            <w:tcW w:w="1276" w:type="dxa"/>
            <w:shd w:val="clear" w:color="auto" w:fill="auto"/>
            <w:vAlign w:val="center"/>
          </w:tcPr>
          <w:p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评价方式</w:t>
            </w:r>
          </w:p>
        </w:tc>
      </w:tr>
      <w:tr w:rsidR="00550C43" w:rsidRPr="008926D2" w:rsidTr="00550C43">
        <w:tc>
          <w:tcPr>
            <w:tcW w:w="535" w:type="dxa"/>
            <w:vMerge w:val="restart"/>
            <w:shd w:val="clear" w:color="auto" w:fill="auto"/>
          </w:tcPr>
          <w:p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vMerge w:val="restart"/>
            <w:shd w:val="clear" w:color="auto" w:fill="auto"/>
          </w:tcPr>
          <w:p w:rsidR="00550C43" w:rsidRPr="008926D2" w:rsidRDefault="00550C43" w:rsidP="00A155B5">
            <w:pPr>
              <w:jc w:val="center"/>
              <w:rPr>
                <w:rFonts w:ascii="仿宋" w:eastAsia="仿宋" w:hAnsi="仿宋" w:cs="宋体"/>
                <w:color w:val="000000"/>
                <w:kern w:val="0"/>
                <w:sz w:val="24"/>
                <w:szCs w:val="24"/>
              </w:rPr>
            </w:pPr>
            <w:r w:rsidRPr="008926D2">
              <w:rPr>
                <w:rFonts w:ascii="仿宋" w:eastAsia="仿宋" w:hAnsi="仿宋" w:cs="宋体" w:hint="eastAsia"/>
                <w:color w:val="000000"/>
                <w:kern w:val="0"/>
                <w:sz w:val="24"/>
                <w:szCs w:val="24"/>
              </w:rPr>
              <w:t>LO311</w:t>
            </w:r>
          </w:p>
        </w:tc>
        <w:tc>
          <w:tcPr>
            <w:tcW w:w="2934" w:type="dxa"/>
            <w:shd w:val="clear" w:color="auto" w:fill="auto"/>
          </w:tcPr>
          <w:p w:rsidR="00550C43" w:rsidRPr="008926D2" w:rsidRDefault="00550C43" w:rsidP="00FA2045">
            <w:pPr>
              <w:spacing w:after="0" w:line="240" w:lineRule="auto"/>
              <w:rPr>
                <w:rFonts w:ascii="KaiTi_GB2312" w:eastAsia="KaiTi_GB2312" w:hAnsi="KaiTi_GB2312"/>
                <w:sz w:val="24"/>
              </w:rPr>
            </w:pPr>
            <w:r w:rsidRPr="008926D2">
              <w:rPr>
                <w:rFonts w:ascii="KaiTi_GB2312" w:eastAsia="KaiTi_GB2312" w:hAnsi="KaiTi_GB2312" w:hint="eastAsia"/>
                <w:sz w:val="24"/>
              </w:rPr>
              <w:t>LO311:熟悉珠宝和奢侈品行市场分析和品牌定位的方法，制定品牌营销的战略和策略;</w:t>
            </w:r>
          </w:p>
        </w:tc>
        <w:tc>
          <w:tcPr>
            <w:tcW w:w="1735" w:type="dxa"/>
            <w:vMerge w:val="restart"/>
            <w:shd w:val="clear" w:color="auto" w:fill="auto"/>
          </w:tcPr>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课堂讲授</w:t>
            </w:r>
          </w:p>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案例分析</w:t>
            </w:r>
          </w:p>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小组讨论</w:t>
            </w:r>
          </w:p>
          <w:p w:rsidR="00550C43" w:rsidRPr="008926D2" w:rsidRDefault="00550C43" w:rsidP="00550C43">
            <w:pPr>
              <w:spacing w:after="0" w:line="240" w:lineRule="auto"/>
              <w:jc w:val="center"/>
              <w:rPr>
                <w:rFonts w:ascii="SimHei" w:eastAsia="SimHei" w:hAnsi="宋体" w:hint="eastAsia"/>
                <w:sz w:val="24"/>
              </w:rPr>
            </w:pPr>
            <w:r w:rsidRPr="008926D2">
              <w:rPr>
                <w:rFonts w:ascii="KaiTi_GB2312" w:eastAsia="KaiTi_GB2312" w:hAnsi="KaiTi_GB2312" w:hint="eastAsia"/>
                <w:sz w:val="24"/>
              </w:rPr>
              <w:t>品牌参观</w:t>
            </w:r>
          </w:p>
        </w:tc>
        <w:tc>
          <w:tcPr>
            <w:tcW w:w="1276" w:type="dxa"/>
            <w:vMerge w:val="restart"/>
            <w:shd w:val="clear" w:color="auto" w:fill="auto"/>
          </w:tcPr>
          <w:p w:rsidR="00550C43" w:rsidRPr="008926D2" w:rsidRDefault="00AB3870"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市场调研报告</w:t>
            </w:r>
          </w:p>
          <w:p w:rsidR="00550C43" w:rsidRPr="008926D2" w:rsidRDefault="00550C43" w:rsidP="00550C43">
            <w:pPr>
              <w:spacing w:after="0" w:line="240" w:lineRule="auto"/>
              <w:jc w:val="center"/>
              <w:rPr>
                <w:rFonts w:ascii="KaiTi_GB2312" w:eastAsia="KaiTi_GB2312" w:hAnsi="KaiTi_GB2312"/>
                <w:sz w:val="24"/>
              </w:rPr>
            </w:pPr>
          </w:p>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品牌研究报告</w:t>
            </w:r>
          </w:p>
          <w:p w:rsidR="00550C43" w:rsidRPr="008926D2" w:rsidRDefault="00550C43" w:rsidP="00550C43">
            <w:pPr>
              <w:spacing w:after="0" w:line="240" w:lineRule="auto"/>
              <w:jc w:val="center"/>
              <w:rPr>
                <w:rFonts w:ascii="KaiTi_GB2312" w:eastAsia="KaiTi_GB2312" w:hAnsi="KaiTi_GB2312"/>
                <w:sz w:val="24"/>
              </w:rPr>
            </w:pPr>
          </w:p>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课堂展示</w:t>
            </w:r>
          </w:p>
        </w:tc>
      </w:tr>
      <w:tr w:rsidR="00550C43" w:rsidRPr="008926D2" w:rsidTr="00550C43">
        <w:tc>
          <w:tcPr>
            <w:tcW w:w="535" w:type="dxa"/>
            <w:vMerge/>
            <w:shd w:val="clear" w:color="auto" w:fill="auto"/>
          </w:tcPr>
          <w:p w:rsidR="00550C43" w:rsidRPr="008926D2" w:rsidRDefault="00550C43">
            <w:pPr>
              <w:rPr>
                <w:rFonts w:ascii="仿宋" w:eastAsia="仿宋" w:hAnsi="仿宋" w:cs="宋体"/>
                <w:color w:val="000000"/>
                <w:kern w:val="0"/>
                <w:sz w:val="24"/>
                <w:szCs w:val="24"/>
              </w:rPr>
            </w:pPr>
          </w:p>
        </w:tc>
        <w:tc>
          <w:tcPr>
            <w:tcW w:w="1175" w:type="dxa"/>
            <w:vMerge/>
            <w:shd w:val="clear" w:color="auto" w:fill="auto"/>
            <w:vAlign w:val="center"/>
          </w:tcPr>
          <w:p w:rsidR="00550C43" w:rsidRPr="008926D2" w:rsidRDefault="00550C43">
            <w:pPr>
              <w:rPr>
                <w:rFonts w:ascii="仿宋" w:eastAsia="仿宋" w:hAnsi="仿宋" w:cs="宋体"/>
                <w:color w:val="000000"/>
                <w:kern w:val="0"/>
                <w:sz w:val="24"/>
                <w:szCs w:val="24"/>
              </w:rPr>
            </w:pPr>
          </w:p>
        </w:tc>
        <w:tc>
          <w:tcPr>
            <w:tcW w:w="2934" w:type="dxa"/>
            <w:shd w:val="clear" w:color="auto" w:fill="auto"/>
          </w:tcPr>
          <w:p w:rsidR="00550C43" w:rsidRPr="008926D2" w:rsidRDefault="00550C43" w:rsidP="00FA2045">
            <w:pPr>
              <w:spacing w:after="0" w:line="240" w:lineRule="auto"/>
              <w:rPr>
                <w:rFonts w:ascii="KaiTi_GB2312" w:eastAsia="KaiTi_GB2312" w:hAnsi="KaiTi_GB2312"/>
                <w:sz w:val="24"/>
              </w:rPr>
            </w:pPr>
            <w:r w:rsidRPr="008926D2">
              <w:rPr>
                <w:rFonts w:ascii="KaiTi_GB2312" w:eastAsia="KaiTi_GB2312" w:hAnsi="KaiTi_GB2312" w:hint="eastAsia"/>
                <w:sz w:val="24"/>
              </w:rPr>
              <w:t>LO313:熟悉品牌和市场定位方法，并基于市场竞争环境进行市场拓展；</w:t>
            </w:r>
          </w:p>
        </w:tc>
        <w:tc>
          <w:tcPr>
            <w:tcW w:w="1735" w:type="dxa"/>
            <w:vMerge/>
            <w:shd w:val="clear" w:color="auto" w:fill="auto"/>
          </w:tcPr>
          <w:p w:rsidR="00550C43" w:rsidRPr="008926D2" w:rsidRDefault="00550C43" w:rsidP="00550C43">
            <w:pPr>
              <w:spacing w:after="0" w:line="240" w:lineRule="auto"/>
              <w:jc w:val="center"/>
              <w:rPr>
                <w:rFonts w:ascii="KaiTi_GB2312" w:eastAsia="KaiTi_GB2312" w:hAnsi="KaiTi_GB2312"/>
                <w:sz w:val="24"/>
              </w:rPr>
            </w:pPr>
          </w:p>
        </w:tc>
        <w:tc>
          <w:tcPr>
            <w:tcW w:w="1276" w:type="dxa"/>
            <w:vMerge/>
            <w:shd w:val="clear" w:color="auto" w:fill="auto"/>
          </w:tcPr>
          <w:p w:rsidR="00550C43" w:rsidRPr="008926D2" w:rsidRDefault="00550C43">
            <w:pPr>
              <w:snapToGrid w:val="0"/>
              <w:spacing w:line="288" w:lineRule="auto"/>
              <w:jc w:val="center"/>
              <w:rPr>
                <w:rFonts w:ascii="SimHei" w:eastAsia="SimHei" w:hAnsi="宋体" w:hint="eastAsia"/>
                <w:sz w:val="24"/>
              </w:rPr>
            </w:pPr>
          </w:p>
        </w:tc>
      </w:tr>
      <w:tr w:rsidR="00550C43" w:rsidRPr="008926D2" w:rsidTr="00550C43">
        <w:tc>
          <w:tcPr>
            <w:tcW w:w="535" w:type="dxa"/>
            <w:vMerge w:val="restart"/>
            <w:shd w:val="clear" w:color="auto" w:fill="auto"/>
          </w:tcPr>
          <w:p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vMerge w:val="restart"/>
            <w:shd w:val="clear" w:color="auto" w:fill="auto"/>
          </w:tcPr>
          <w:p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LO51</w:t>
            </w:r>
          </w:p>
        </w:tc>
        <w:tc>
          <w:tcPr>
            <w:tcW w:w="2934" w:type="dxa"/>
            <w:shd w:val="clear" w:color="auto" w:fill="auto"/>
          </w:tcPr>
          <w:p w:rsidR="00550C43" w:rsidRPr="008926D2" w:rsidRDefault="00550C43" w:rsidP="00A155B5">
            <w:pPr>
              <w:spacing w:after="0" w:line="240" w:lineRule="auto"/>
              <w:rPr>
                <w:rFonts w:ascii="KaiTi_GB2312" w:eastAsia="KaiTi_GB2312" w:hAnsi="KaiTi_GB2312"/>
                <w:sz w:val="24"/>
              </w:rPr>
            </w:pPr>
            <w:r w:rsidRPr="008926D2">
              <w:rPr>
                <w:rFonts w:ascii="KaiTi_GB2312" w:eastAsia="KaiTi_GB2312" w:hAnsi="KaiTi_GB2312" w:hint="eastAsia"/>
                <w:sz w:val="24"/>
              </w:rPr>
              <w:t>LO513:能用创新的方法或者多种方法解决复杂问题或真实问题。</w:t>
            </w:r>
          </w:p>
        </w:tc>
        <w:tc>
          <w:tcPr>
            <w:tcW w:w="1735" w:type="dxa"/>
            <w:vMerge w:val="restart"/>
            <w:shd w:val="clear" w:color="auto" w:fill="auto"/>
          </w:tcPr>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课程作业</w:t>
            </w:r>
          </w:p>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案例分析</w:t>
            </w:r>
          </w:p>
          <w:p w:rsidR="00550C43" w:rsidRPr="008926D2" w:rsidRDefault="00550C43" w:rsidP="00550C43">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小组讨论</w:t>
            </w:r>
          </w:p>
          <w:p w:rsidR="00550C43" w:rsidRPr="008926D2" w:rsidRDefault="00550C43" w:rsidP="00550C43">
            <w:pPr>
              <w:spacing w:after="0" w:line="240" w:lineRule="auto"/>
              <w:jc w:val="center"/>
              <w:rPr>
                <w:rFonts w:ascii="KaiTi_GB2312" w:eastAsia="KaiTi_GB2312" w:hAnsi="KaiTi_GB2312"/>
                <w:sz w:val="24"/>
              </w:rPr>
            </w:pPr>
          </w:p>
        </w:tc>
        <w:tc>
          <w:tcPr>
            <w:tcW w:w="1276" w:type="dxa"/>
            <w:vMerge/>
            <w:shd w:val="clear" w:color="auto" w:fill="auto"/>
          </w:tcPr>
          <w:p w:rsidR="00550C43" w:rsidRPr="008926D2" w:rsidRDefault="00550C43">
            <w:pPr>
              <w:snapToGrid w:val="0"/>
              <w:spacing w:line="288" w:lineRule="auto"/>
              <w:jc w:val="center"/>
              <w:rPr>
                <w:rFonts w:ascii="SimHei" w:eastAsia="SimHei" w:hAnsi="宋体" w:hint="eastAsia"/>
                <w:sz w:val="24"/>
              </w:rPr>
            </w:pPr>
          </w:p>
        </w:tc>
      </w:tr>
      <w:tr w:rsidR="00550C43" w:rsidRPr="008926D2" w:rsidTr="00550C43">
        <w:tc>
          <w:tcPr>
            <w:tcW w:w="535" w:type="dxa"/>
            <w:vMerge/>
            <w:shd w:val="clear" w:color="auto" w:fill="auto"/>
          </w:tcPr>
          <w:p w:rsidR="00550C43" w:rsidRPr="008926D2" w:rsidRDefault="00550C43">
            <w:pPr>
              <w:rPr>
                <w:rFonts w:ascii="仿宋" w:eastAsia="仿宋" w:hAnsi="仿宋" w:cs="宋体"/>
                <w:color w:val="000000"/>
                <w:kern w:val="0"/>
                <w:sz w:val="24"/>
              </w:rPr>
            </w:pPr>
          </w:p>
        </w:tc>
        <w:tc>
          <w:tcPr>
            <w:tcW w:w="1175" w:type="dxa"/>
            <w:vMerge/>
            <w:shd w:val="clear" w:color="auto" w:fill="auto"/>
          </w:tcPr>
          <w:p w:rsidR="00550C43" w:rsidRPr="008926D2" w:rsidRDefault="00550C43">
            <w:pPr>
              <w:rPr>
                <w:rFonts w:ascii="仿宋" w:eastAsia="仿宋" w:hAnsi="仿宋" w:cs="宋体"/>
                <w:color w:val="000000"/>
                <w:kern w:val="0"/>
                <w:sz w:val="24"/>
              </w:rPr>
            </w:pPr>
          </w:p>
        </w:tc>
        <w:tc>
          <w:tcPr>
            <w:tcW w:w="2934" w:type="dxa"/>
            <w:shd w:val="clear" w:color="auto" w:fill="auto"/>
          </w:tcPr>
          <w:p w:rsidR="00550C43" w:rsidRPr="008926D2" w:rsidRDefault="00550C43">
            <w:pPr>
              <w:rPr>
                <w:rFonts w:ascii="仿宋" w:eastAsia="仿宋" w:hAnsi="仿宋" w:cs="宋体"/>
                <w:color w:val="000000"/>
                <w:kern w:val="0"/>
                <w:sz w:val="24"/>
              </w:rPr>
            </w:pPr>
            <w:r w:rsidRPr="008926D2">
              <w:rPr>
                <w:rFonts w:ascii="KaiTi_GB2312" w:eastAsia="KaiTi_GB2312" w:hAnsi="KaiTi_GB2312" w:hint="eastAsia"/>
                <w:sz w:val="24"/>
              </w:rPr>
              <w:t>LO514:了解行业前沿知识技术。</w:t>
            </w:r>
          </w:p>
        </w:tc>
        <w:tc>
          <w:tcPr>
            <w:tcW w:w="1735" w:type="dxa"/>
            <w:vMerge/>
            <w:shd w:val="clear" w:color="auto" w:fill="auto"/>
          </w:tcPr>
          <w:p w:rsidR="00550C43" w:rsidRPr="008926D2" w:rsidRDefault="00550C43">
            <w:pPr>
              <w:snapToGrid w:val="0"/>
              <w:spacing w:line="288" w:lineRule="auto"/>
              <w:jc w:val="center"/>
              <w:rPr>
                <w:rFonts w:ascii="SimHei" w:eastAsia="SimHei" w:hAnsi="宋体" w:hint="eastAsia"/>
                <w:sz w:val="24"/>
              </w:rPr>
            </w:pPr>
          </w:p>
        </w:tc>
        <w:tc>
          <w:tcPr>
            <w:tcW w:w="1276" w:type="dxa"/>
            <w:vMerge/>
            <w:shd w:val="clear" w:color="auto" w:fill="auto"/>
          </w:tcPr>
          <w:p w:rsidR="00550C43" w:rsidRPr="008926D2" w:rsidRDefault="00550C43">
            <w:pPr>
              <w:snapToGrid w:val="0"/>
              <w:spacing w:line="288" w:lineRule="auto"/>
              <w:jc w:val="center"/>
              <w:rPr>
                <w:rFonts w:ascii="SimHei" w:eastAsia="SimHei" w:hAnsi="宋体" w:hint="eastAsia"/>
                <w:sz w:val="24"/>
              </w:rPr>
            </w:pPr>
          </w:p>
        </w:tc>
      </w:tr>
    </w:tbl>
    <w:p w:rsidR="00324C49" w:rsidRPr="008926D2" w:rsidRDefault="00324C49">
      <w:pPr>
        <w:snapToGrid w:val="0"/>
        <w:spacing w:line="288" w:lineRule="auto"/>
        <w:ind w:leftChars="200" w:left="420"/>
        <w:rPr>
          <w:rFonts w:ascii="SimHei" w:eastAsia="SimHei" w:hAnsi="宋体" w:hint="eastAsia"/>
          <w:sz w:val="24"/>
        </w:rPr>
      </w:pPr>
    </w:p>
    <w:p w:rsidR="00324C49" w:rsidRPr="008926D2" w:rsidRDefault="006428CD" w:rsidP="00EC2591">
      <w:pPr>
        <w:widowControl/>
        <w:spacing w:beforeLines="50" w:afterLines="50" w:line="288" w:lineRule="auto"/>
        <w:ind w:firstLineChars="150" w:firstLine="360"/>
        <w:jc w:val="left"/>
        <w:rPr>
          <w:rFonts w:ascii="SimHei" w:eastAsia="SimHei" w:hAnsi="宋体" w:hint="eastAsia"/>
          <w:sz w:val="24"/>
        </w:rPr>
      </w:pPr>
      <w:r w:rsidRPr="008926D2">
        <w:rPr>
          <w:rFonts w:ascii="SimHei" w:eastAsia="SimHei" w:hAnsi="宋体" w:hint="eastAsia"/>
          <w:sz w:val="24"/>
        </w:rPr>
        <w:lastRenderedPageBreak/>
        <w:t>六、</w:t>
      </w:r>
      <w:r w:rsidRPr="008926D2">
        <w:rPr>
          <w:rFonts w:ascii="SimHei" w:eastAsia="SimHei" w:hAnsi="宋体"/>
          <w:sz w:val="24"/>
        </w:rPr>
        <w:t>课程内容（必填项）</w:t>
      </w:r>
    </w:p>
    <w:p w:rsidR="00324C49" w:rsidRPr="008926D2" w:rsidRDefault="006428CD">
      <w:pPr>
        <w:snapToGrid w:val="0"/>
        <w:spacing w:line="288" w:lineRule="auto"/>
        <w:ind w:firstLineChars="200" w:firstLine="400"/>
        <w:rPr>
          <w:rFonts w:ascii="宋体" w:hAnsi="宋体"/>
          <w:sz w:val="20"/>
          <w:szCs w:val="20"/>
        </w:rPr>
      </w:pPr>
      <w:r w:rsidRPr="008926D2">
        <w:rPr>
          <w:bCs/>
          <w:sz w:val="20"/>
          <w:szCs w:val="20"/>
        </w:rPr>
        <w:t>此处</w:t>
      </w:r>
      <w:r w:rsidRPr="008926D2">
        <w:rPr>
          <w:rFonts w:ascii="宋体" w:hAnsi="宋体" w:hint="eastAsia"/>
          <w:sz w:val="20"/>
          <w:szCs w:val="20"/>
        </w:rPr>
        <w:t>分单元</w:t>
      </w:r>
      <w:r w:rsidRPr="008926D2">
        <w:rPr>
          <w:rFonts w:hint="eastAsia"/>
          <w:bCs/>
          <w:sz w:val="20"/>
          <w:szCs w:val="20"/>
        </w:rPr>
        <w:t>列出教学的知识点和能力要求。知识点</w:t>
      </w:r>
      <w:r w:rsidRPr="008926D2">
        <w:rPr>
          <w:rFonts w:ascii="宋体" w:hAnsi="宋体"/>
          <w:sz w:val="20"/>
          <w:szCs w:val="20"/>
        </w:rPr>
        <w:t>用</w:t>
      </w:r>
      <w:r w:rsidRPr="008926D2">
        <w:rPr>
          <w:rFonts w:ascii="宋体" w:hAnsi="宋体" w:hint="eastAsia"/>
          <w:sz w:val="20"/>
          <w:szCs w:val="20"/>
        </w:rPr>
        <w:t>布鲁姆认知能力的</w:t>
      </w:r>
      <w:r w:rsidRPr="008926D2">
        <w:rPr>
          <w:rFonts w:ascii="宋体" w:hAnsi="宋体" w:hint="eastAsia"/>
          <w:bCs/>
          <w:sz w:val="20"/>
          <w:szCs w:val="20"/>
        </w:rPr>
        <w:t>6</w:t>
      </w:r>
      <w:r w:rsidRPr="008926D2">
        <w:rPr>
          <w:rFonts w:ascii="宋体" w:hAnsi="宋体" w:hint="eastAsia"/>
          <w:sz w:val="20"/>
          <w:szCs w:val="20"/>
        </w:rPr>
        <w:t>种层次： (“</w:t>
      </w:r>
      <w:r w:rsidRPr="008926D2">
        <w:rPr>
          <w:rFonts w:ascii="宋体" w:hAnsi="宋体" w:hint="eastAsia"/>
          <w:b/>
          <w:bCs/>
          <w:sz w:val="20"/>
          <w:szCs w:val="20"/>
        </w:rPr>
        <w:t>知道”、“理解”、“运用”、“分析”、“综合”、“评价”)</w:t>
      </w:r>
      <w:r w:rsidRPr="008926D2">
        <w:rPr>
          <w:rFonts w:ascii="宋体" w:hAnsi="宋体" w:hint="eastAsia"/>
          <w:bCs/>
          <w:sz w:val="20"/>
          <w:szCs w:val="20"/>
        </w:rPr>
        <w:t>来</w:t>
      </w:r>
      <w:r w:rsidRPr="008926D2">
        <w:rPr>
          <w:rFonts w:ascii="宋体" w:hAnsi="宋体"/>
          <w:sz w:val="20"/>
          <w:szCs w:val="20"/>
        </w:rPr>
        <w:t>表</w:t>
      </w:r>
      <w:r w:rsidRPr="008926D2">
        <w:rPr>
          <w:rFonts w:ascii="宋体" w:hAnsi="宋体" w:hint="eastAsia"/>
          <w:sz w:val="20"/>
          <w:szCs w:val="20"/>
        </w:rPr>
        <w:t>达对学生学习要求上的差异</w:t>
      </w:r>
      <w:r w:rsidRPr="008926D2">
        <w:rPr>
          <w:rFonts w:ascii="宋体" w:hAnsi="宋体"/>
          <w:sz w:val="20"/>
          <w:szCs w:val="20"/>
        </w:rPr>
        <w:t>。</w:t>
      </w:r>
      <w:r w:rsidRPr="008926D2">
        <w:rPr>
          <w:rFonts w:ascii="宋体" w:hAnsi="宋体" w:hint="eastAsia"/>
          <w:sz w:val="20"/>
          <w:szCs w:val="20"/>
        </w:rPr>
        <w:t>能力要求必须选用合适的行为动词来表达。用文字说明教学的难点所在，</w:t>
      </w:r>
      <w:r w:rsidRPr="008926D2">
        <w:rPr>
          <w:rFonts w:ascii="宋体" w:hAnsi="宋体" w:hint="eastAsia"/>
          <w:b/>
          <w:bCs/>
          <w:sz w:val="20"/>
          <w:szCs w:val="20"/>
        </w:rPr>
        <w:t>并标明每个单元的理论课时数和实践课时数。</w:t>
      </w:r>
    </w:p>
    <w:p w:rsidR="00A23364" w:rsidRPr="008926D2" w:rsidRDefault="00A23364" w:rsidP="00A23364">
      <w:pPr>
        <w:rPr>
          <w:rFonts w:ascii="宋体" w:hAnsi="宋体"/>
          <w:sz w:val="20"/>
          <w:szCs w:val="20"/>
        </w:rPr>
      </w:pPr>
      <w:r w:rsidRPr="008926D2">
        <w:rPr>
          <w:rFonts w:ascii="宋体" w:hAnsi="宋体" w:hint="eastAsia"/>
          <w:sz w:val="20"/>
          <w:szCs w:val="20"/>
        </w:rPr>
        <w:t>国内外的参考教材基本分为三类：一类按照奢侈品行业的产业链规律进行内容设置，逻辑思路是先介绍国际奢侈品品牌经验：从市场到经营者，然后是设计、生产、营销，再推及中国市场和本土企业高端化的讨论。</w:t>
      </w:r>
      <w:r w:rsidRPr="008926D2">
        <w:rPr>
          <w:rStyle w:val="FootnoteReference"/>
          <w:rFonts w:ascii="宋体" w:hAnsi="宋体"/>
          <w:sz w:val="20"/>
          <w:szCs w:val="20"/>
        </w:rPr>
        <w:footnoteReference w:id="1"/>
      </w:r>
    </w:p>
    <w:p w:rsidR="00A23364" w:rsidRPr="008926D2" w:rsidRDefault="00A23364" w:rsidP="00A23364">
      <w:pPr>
        <w:rPr>
          <w:rFonts w:ascii="宋体" w:hAnsi="宋体"/>
          <w:sz w:val="20"/>
          <w:szCs w:val="20"/>
        </w:rPr>
      </w:pPr>
      <w:r w:rsidRPr="008926D2">
        <w:rPr>
          <w:rFonts w:ascii="宋体" w:hAnsi="宋体" w:hint="eastAsia"/>
          <w:sz w:val="20"/>
          <w:szCs w:val="20"/>
        </w:rPr>
        <w:t>第二类重点围绕的品牌管理的基础、核心及方法，跳过生产流程，直接进入产业链的下端，讲述传播、销售和分销中如何进行品牌管理。重点内容包括：品牌传播、消费者群体研究、品牌体验与营销、客户关系管理、分销渠道、产品创新与定价策略、品牌文化、品牌维护和发展等。</w:t>
      </w:r>
      <w:r w:rsidRPr="008926D2">
        <w:rPr>
          <w:rStyle w:val="FootnoteReference"/>
          <w:rFonts w:ascii="宋体" w:hAnsi="宋体"/>
          <w:sz w:val="20"/>
          <w:szCs w:val="20"/>
        </w:rPr>
        <w:footnoteReference w:id="2"/>
      </w:r>
    </w:p>
    <w:p w:rsidR="00A23364" w:rsidRPr="008926D2" w:rsidRDefault="00A23364" w:rsidP="00A23364">
      <w:pPr>
        <w:rPr>
          <w:rFonts w:ascii="宋体" w:hAnsi="宋体"/>
          <w:sz w:val="20"/>
          <w:szCs w:val="20"/>
        </w:rPr>
      </w:pPr>
      <w:r w:rsidRPr="008926D2">
        <w:rPr>
          <w:rFonts w:ascii="宋体" w:hAnsi="宋体" w:hint="eastAsia"/>
          <w:sz w:val="20"/>
          <w:szCs w:val="20"/>
        </w:rPr>
        <w:t>第三类则侧重奢侈品市场、行业与终端的品牌管理理论与模型，研究顾客群体和品牌定位模型和品牌战略。</w:t>
      </w:r>
      <w:r w:rsidRPr="008926D2">
        <w:rPr>
          <w:rStyle w:val="FootnoteReference"/>
          <w:rFonts w:ascii="宋体" w:hAnsi="宋体"/>
          <w:sz w:val="20"/>
          <w:szCs w:val="20"/>
        </w:rPr>
        <w:footnoteReference w:id="3"/>
      </w:r>
    </w:p>
    <w:p w:rsidR="00A23364" w:rsidRPr="008926D2" w:rsidRDefault="00A23364" w:rsidP="00A23364">
      <w:pPr>
        <w:rPr>
          <w:rFonts w:ascii="宋体" w:hAnsi="宋体"/>
          <w:sz w:val="20"/>
          <w:szCs w:val="20"/>
        </w:rPr>
      </w:pPr>
      <w:r w:rsidRPr="008926D2">
        <w:rPr>
          <w:rFonts w:ascii="宋体" w:hAnsi="宋体" w:hint="eastAsia"/>
          <w:sz w:val="20"/>
          <w:szCs w:val="20"/>
        </w:rPr>
        <w:t>基于授课教师自身的行业经验，以及本院应用型大学的定位与本专业人才培养目标，我们认为一名奢侈品品牌管理者和从业者需要了解整个产业链的运作，从源头到终端，从宏观到微观，从理论模型到实践运作，从品牌构建到落地到推广到最后销售实现品牌价值。奢侈品品牌管理作为（奢侈品管理）专业的专业主干课程，应该给予学生一个完整的品牌管理体系和框架，从品牌运营实践的角度去安排学习进度和内容，由面到点，由浅入深，由理论到案例，便于学生学习、理解、操作和实践。这种系统的教学安排是我们在这门课程体系的创新实践。</w:t>
      </w:r>
    </w:p>
    <w:p w:rsidR="00A23364" w:rsidRPr="008926D2" w:rsidRDefault="00A23364" w:rsidP="00A23364">
      <w:pPr>
        <w:rPr>
          <w:rFonts w:ascii="宋体" w:hAnsi="宋体"/>
          <w:sz w:val="20"/>
          <w:szCs w:val="20"/>
        </w:rPr>
      </w:pPr>
      <w:r w:rsidRPr="008926D2">
        <w:rPr>
          <w:rFonts w:ascii="宋体" w:hAnsi="宋体" w:hint="eastAsia"/>
          <w:sz w:val="20"/>
          <w:szCs w:val="20"/>
        </w:rPr>
        <w:t>因此整个课程的逻辑与内容体系设计如下：</w:t>
      </w:r>
    </w:p>
    <w:p w:rsidR="00A23364" w:rsidRPr="008926D2" w:rsidRDefault="00A23364" w:rsidP="00A23364">
      <w:pPr>
        <w:rPr>
          <w:rFonts w:ascii="宋体" w:hAnsi="宋体"/>
          <w:sz w:val="20"/>
          <w:szCs w:val="20"/>
        </w:rPr>
      </w:pPr>
      <w:r w:rsidRPr="008926D2">
        <w:rPr>
          <w:rFonts w:ascii="宋体" w:hAnsi="宋体" w:hint="eastAsia"/>
          <w:sz w:val="20"/>
          <w:szCs w:val="20"/>
        </w:rPr>
        <w:t>首先，明确什么是奢侈品，即：奢侈品牌的特征、要素、核心和意义。</w:t>
      </w:r>
    </w:p>
    <w:p w:rsidR="00A23364" w:rsidRPr="008926D2" w:rsidRDefault="00A23364" w:rsidP="00A23364">
      <w:pPr>
        <w:rPr>
          <w:rFonts w:ascii="宋体" w:hAnsi="宋体"/>
          <w:sz w:val="20"/>
          <w:szCs w:val="20"/>
        </w:rPr>
      </w:pPr>
      <w:r w:rsidRPr="008926D2">
        <w:rPr>
          <w:rFonts w:ascii="宋体" w:hAnsi="宋体" w:hint="eastAsia"/>
          <w:sz w:val="20"/>
          <w:szCs w:val="20"/>
        </w:rPr>
        <w:t>其次，研究清楚外部环境，包括：市场与行业，市场参与者（厂商、经销商、消费者），市场与行业的发展变化与趋势。</w:t>
      </w:r>
    </w:p>
    <w:p w:rsidR="00A23364" w:rsidRPr="008926D2" w:rsidRDefault="00A23364" w:rsidP="00A23364">
      <w:pPr>
        <w:rPr>
          <w:rFonts w:ascii="宋体" w:hAnsi="宋体"/>
          <w:sz w:val="20"/>
          <w:szCs w:val="20"/>
        </w:rPr>
      </w:pPr>
      <w:r w:rsidRPr="008926D2">
        <w:rPr>
          <w:rFonts w:ascii="宋体" w:hAnsi="宋体" w:hint="eastAsia"/>
          <w:sz w:val="20"/>
          <w:szCs w:val="20"/>
        </w:rPr>
        <w:t>再次，了解企业内部如何建立品牌管理机制、流程与方法，涵盖奢侈品消费者行为研究、品牌文化与定位、产品创造、创新与定价策略、品牌传播战略、品牌营销与体验、分销与销售、电子商务、客户关系管理、品牌管理者管理、品牌维护与发展的整个品牌战略构建和运营的完整流程。</w:t>
      </w:r>
    </w:p>
    <w:p w:rsidR="00A23364" w:rsidRPr="008926D2" w:rsidRDefault="00A23364" w:rsidP="00A23364">
      <w:pPr>
        <w:rPr>
          <w:rFonts w:ascii="宋体" w:hAnsi="宋体"/>
          <w:sz w:val="20"/>
          <w:szCs w:val="20"/>
        </w:rPr>
      </w:pPr>
      <w:r w:rsidRPr="008926D2">
        <w:rPr>
          <w:rFonts w:ascii="宋体" w:hAnsi="宋体" w:hint="eastAsia"/>
          <w:sz w:val="20"/>
          <w:szCs w:val="20"/>
        </w:rPr>
        <w:t>因为品牌管理的首要任务品牌定位与如何施行，而在做出准确的品牌定位之前是要研究目标顾客。因此，整个实际管理顺序里，“奢侈品消费者行为”研究放在首位。研究清楚消费者行为和偏好</w:t>
      </w:r>
      <w:r w:rsidRPr="008926D2">
        <w:rPr>
          <w:rFonts w:ascii="宋体" w:hAnsi="宋体" w:hint="eastAsia"/>
          <w:sz w:val="20"/>
          <w:szCs w:val="20"/>
        </w:rPr>
        <w:lastRenderedPageBreak/>
        <w:t>后，基于品牌创立者或管理者的初衷和目标、历史，确定“品牌文化与品牌定位”。基于品牌定位，进行“产品创造、创新”并制定“定价策略”。产品生产完成、价格确定之后，就要进行宣传和推广，因此“品牌传播”的思路、战略与渠道，“品牌营销与体验”策略与手段就是紧随其后的重点。随后，产品伴随传播与推广，进入市场，“国际分销” 与终端“销售”的管理成为实现品牌价值的最重要的端点。“电子商务”作为互联网和数字技术条件下的终端零售，其特殊的管理与运营方式不仅是品牌不断面临的挑战，也是奢侈品从业者必须要掌握的传播、营销与销售的新技术和新手段。“品牌维护与发展”决定了品牌是否可持续发展。</w:t>
      </w:r>
    </w:p>
    <w:p w:rsidR="00A23364" w:rsidRPr="008926D2" w:rsidRDefault="00A23364" w:rsidP="00A23364">
      <w:pPr>
        <w:rPr>
          <w:rFonts w:ascii="宋体" w:hAnsi="宋体"/>
          <w:sz w:val="20"/>
          <w:szCs w:val="20"/>
        </w:rPr>
      </w:pPr>
      <w:r w:rsidRPr="008926D2">
        <w:rPr>
          <w:rFonts w:ascii="宋体" w:hAnsi="宋体" w:hint="eastAsia"/>
          <w:sz w:val="20"/>
          <w:szCs w:val="20"/>
        </w:rPr>
        <w:t>最后是奢侈品品牌管理在中国的应用，主要有：奢侈品品牌如何实现全球化并打开中国市场，奢侈品品牌在中国的发展（包括市场环境、市场分布、消费者特点与行为、品牌传播及面临挑战），中国本土品牌如何升级、如何发展自有高端品牌。</w:t>
      </w:r>
    </w:p>
    <w:p w:rsidR="00A23364" w:rsidRPr="008926D2" w:rsidRDefault="00A23364" w:rsidP="00A23364">
      <w:pPr>
        <w:snapToGrid w:val="0"/>
        <w:spacing w:line="288" w:lineRule="auto"/>
        <w:ind w:firstLineChars="200" w:firstLine="400"/>
        <w:rPr>
          <w:rFonts w:asciiTheme="minorEastAsia" w:hAnsiTheme="minorEastAsia"/>
          <w:sz w:val="20"/>
          <w:szCs w:val="20"/>
        </w:rPr>
      </w:pPr>
      <w:r w:rsidRPr="008926D2">
        <w:rPr>
          <w:rFonts w:ascii="宋体" w:hAnsi="宋体" w:hint="eastAsia"/>
          <w:sz w:val="20"/>
          <w:szCs w:val="20"/>
        </w:rPr>
        <w:t>重点</w:t>
      </w:r>
      <w:r w:rsidRPr="008926D2">
        <w:rPr>
          <w:rFonts w:asciiTheme="minorEastAsia" w:hAnsiTheme="minorEastAsia" w:hint="eastAsia"/>
          <w:sz w:val="20"/>
          <w:szCs w:val="20"/>
        </w:rPr>
        <w:t>：</w:t>
      </w:r>
    </w:p>
    <w:p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奢侈品牌的特征、要素、核心和意义。</w:t>
      </w:r>
    </w:p>
    <w:p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了解外部环境，包括：市场与行业，市场参与者（厂商、经销商、消费者），市场与行业的发展变化与趋势。</w:t>
      </w:r>
    </w:p>
    <w:p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了解企业内部如何建立品牌管理机制、流程与方法，涵盖奢侈品消费者行为研究、品牌文化与定位、产品创造、创新与定价策略、品牌传播战略、品牌营销与体验、分销与销售、电子商务、品牌维护与发展的整个品牌战略构建和运营的完整流程。</w:t>
      </w:r>
    </w:p>
    <w:p w:rsidR="00A23364" w:rsidRPr="008926D2" w:rsidRDefault="00A23364" w:rsidP="00A23364">
      <w:pPr>
        <w:snapToGrid w:val="0"/>
        <w:spacing w:line="288" w:lineRule="auto"/>
        <w:ind w:left="400"/>
        <w:rPr>
          <w:rFonts w:ascii="宋体" w:hAnsi="宋体"/>
          <w:sz w:val="20"/>
          <w:szCs w:val="20"/>
        </w:rPr>
      </w:pPr>
      <w:r w:rsidRPr="008926D2">
        <w:rPr>
          <w:rFonts w:ascii="宋体" w:hAnsi="宋体" w:hint="eastAsia"/>
          <w:sz w:val="20"/>
          <w:szCs w:val="20"/>
        </w:rPr>
        <w:t>难点：</w:t>
      </w:r>
    </w:p>
    <w:p w:rsidR="00A23364" w:rsidRPr="008926D2" w:rsidRDefault="00A23364" w:rsidP="00A23364">
      <w:pPr>
        <w:pStyle w:val="ListParagraph"/>
        <w:snapToGrid w:val="0"/>
        <w:spacing w:line="288" w:lineRule="auto"/>
        <w:ind w:left="760"/>
        <w:rPr>
          <w:rFonts w:ascii="宋体" w:hAnsi="宋体"/>
          <w:sz w:val="20"/>
          <w:szCs w:val="20"/>
        </w:rPr>
      </w:pPr>
      <w:r w:rsidRPr="008926D2">
        <w:rPr>
          <w:rFonts w:ascii="宋体" w:hAnsi="宋体" w:hint="eastAsia"/>
          <w:sz w:val="20"/>
          <w:szCs w:val="20"/>
        </w:rPr>
        <w:t>1.奢侈品消费者行为研究</w:t>
      </w:r>
    </w:p>
    <w:p w:rsidR="00A23364" w:rsidRPr="008926D2" w:rsidRDefault="00A23364" w:rsidP="00A23364">
      <w:pPr>
        <w:pStyle w:val="ListParagraph"/>
        <w:snapToGrid w:val="0"/>
        <w:spacing w:line="288" w:lineRule="auto"/>
        <w:ind w:left="760"/>
        <w:rPr>
          <w:rFonts w:ascii="宋体" w:hAnsi="宋体"/>
          <w:sz w:val="20"/>
          <w:szCs w:val="20"/>
        </w:rPr>
      </w:pPr>
      <w:r w:rsidRPr="008926D2">
        <w:rPr>
          <w:rFonts w:ascii="宋体" w:hAnsi="宋体" w:hint="eastAsia"/>
          <w:sz w:val="20"/>
          <w:szCs w:val="20"/>
        </w:rPr>
        <w:t>2.品牌文化与定位</w:t>
      </w:r>
    </w:p>
    <w:p w:rsidR="00A23364" w:rsidRPr="008926D2" w:rsidRDefault="00A23364" w:rsidP="00A23364">
      <w:pPr>
        <w:pStyle w:val="ListParagraph"/>
        <w:snapToGrid w:val="0"/>
        <w:spacing w:line="288" w:lineRule="auto"/>
        <w:ind w:left="760"/>
        <w:rPr>
          <w:rFonts w:ascii="宋体" w:eastAsia="SimSun" w:hAnsi="宋体" w:hint="eastAsia"/>
          <w:sz w:val="20"/>
          <w:szCs w:val="20"/>
        </w:rPr>
      </w:pPr>
      <w:r w:rsidRPr="008926D2">
        <w:rPr>
          <w:rFonts w:ascii="宋体" w:hAnsi="宋体" w:hint="eastAsia"/>
          <w:sz w:val="20"/>
          <w:szCs w:val="20"/>
        </w:rPr>
        <w:t>3.品牌传播战略、品牌营销与体验</w:t>
      </w:r>
    </w:p>
    <w:p w:rsidR="008926D2" w:rsidRPr="008926D2" w:rsidRDefault="008926D2" w:rsidP="00A23364">
      <w:pPr>
        <w:pStyle w:val="ListParagraph"/>
        <w:snapToGrid w:val="0"/>
        <w:spacing w:line="288" w:lineRule="auto"/>
        <w:ind w:left="760"/>
        <w:rPr>
          <w:rFonts w:ascii="宋体" w:eastAsia="SimSun" w:hAnsi="宋体" w:hint="eastAsia"/>
          <w:sz w:val="20"/>
          <w:szCs w:val="20"/>
        </w:rPr>
      </w:pPr>
    </w:p>
    <w:p w:rsidR="008926D2" w:rsidRPr="008926D2" w:rsidRDefault="008926D2" w:rsidP="008926D2">
      <w:pPr>
        <w:snapToGrid w:val="0"/>
        <w:rPr>
          <w:rFonts w:ascii="SimSun" w:eastAsia="SimSun" w:hAnsi="SimSun"/>
          <w:b/>
        </w:rPr>
      </w:pPr>
      <w:r w:rsidRPr="008926D2">
        <w:rPr>
          <w:rFonts w:ascii="SimSun" w:eastAsia="SimSun" w:hAnsi="SimSun" w:hint="eastAsia"/>
          <w:b/>
        </w:rPr>
        <w:t>（一）课程目标</w:t>
      </w:r>
    </w:p>
    <w:p w:rsidR="008926D2" w:rsidRPr="008926D2" w:rsidRDefault="008926D2" w:rsidP="008926D2">
      <w:pPr>
        <w:snapToGrid w:val="0"/>
        <w:rPr>
          <w:rFonts w:ascii="SimSun" w:eastAsia="SimSun" w:hAnsi="SimSun"/>
        </w:rPr>
      </w:pPr>
      <w:r w:rsidRPr="008926D2">
        <w:rPr>
          <w:rFonts w:ascii="SimSun" w:eastAsia="SimSun" w:hAnsi="SimSun" w:hint="eastAsia"/>
        </w:rPr>
        <w:t>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可以为目标品牌构建初步的品牌发展战略和执行计划。</w:t>
      </w:r>
    </w:p>
    <w:p w:rsidR="008926D2" w:rsidRPr="008926D2" w:rsidRDefault="008926D2" w:rsidP="008926D2">
      <w:pPr>
        <w:snapToGrid w:val="0"/>
        <w:rPr>
          <w:rFonts w:ascii="SimSun" w:eastAsia="SimSun" w:hAnsi="SimSun"/>
          <w:b/>
        </w:rPr>
      </w:pPr>
      <w:r w:rsidRPr="008926D2">
        <w:rPr>
          <w:rFonts w:ascii="SimSun" w:eastAsia="SimSun" w:hAnsi="SimSun" w:hint="eastAsia"/>
          <w:b/>
        </w:rPr>
        <w:t>（二）课程内容</w:t>
      </w:r>
    </w:p>
    <w:p w:rsidR="008926D2" w:rsidRPr="008926D2" w:rsidRDefault="008926D2" w:rsidP="008926D2">
      <w:pPr>
        <w:rPr>
          <w:rFonts w:ascii="SimSun" w:eastAsia="SimSun" w:hAnsi="SimSun"/>
          <w:b/>
        </w:rPr>
      </w:pPr>
      <w:r w:rsidRPr="008926D2">
        <w:rPr>
          <w:rFonts w:ascii="SimSun" w:eastAsia="SimSun" w:hAnsi="SimSun" w:hint="eastAsia"/>
          <w:b/>
        </w:rPr>
        <w:t>第一篇 什么是奢侈品？什么是奢侈品牌</w:t>
      </w:r>
    </w:p>
    <w:p w:rsidR="008926D2" w:rsidRPr="008926D2" w:rsidRDefault="008926D2" w:rsidP="008926D2">
      <w:pPr>
        <w:rPr>
          <w:rFonts w:ascii="SimSun" w:eastAsia="SimSun" w:hAnsi="SimSun"/>
        </w:rPr>
      </w:pPr>
      <w:r w:rsidRPr="008926D2">
        <w:rPr>
          <w:rFonts w:ascii="SimSun" w:eastAsia="SimSun" w:hAnsi="SimSun" w:hint="eastAsia"/>
        </w:rPr>
        <w:t>第一章 奢侈品的概念</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奢侈品的概念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8093"/>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1.1</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奢侈品的概念</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lastRenderedPageBreak/>
              <w:t>1.1.1</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奢侈品定义：一个不确定的定义</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1.1.2</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词义演变的记录</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1.1.3</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现有定义的分类</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1.1.4</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奢侈价值</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1.1.5</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真正奢侈、中端奢侈</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1.1.6</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奢侈、存在和表现</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1.1.7</w:t>
            </w: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奢侈品特点</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8093"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品牌故事：娇兰（</w:t>
            </w:r>
            <w:r w:rsidRPr="008926D2">
              <w:rPr>
                <w:rFonts w:ascii="SimSun" w:eastAsia="SimSun" w:hAnsi="SimSun" w:cs="Calibri"/>
                <w:color w:val="000000"/>
              </w:rPr>
              <w:t>GUERLAIN</w:t>
            </w:r>
            <w:r w:rsidRPr="008926D2">
              <w:rPr>
                <w:rFonts w:ascii="SimSun" w:eastAsia="SimSun" w:hAnsi="SimSun" w:cs="SimSun"/>
                <w:color w:val="000000"/>
              </w:rPr>
              <w:t>）</w:t>
            </w:r>
          </w:p>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讨论案例：</w:t>
            </w:r>
            <w:r w:rsidRPr="008926D2">
              <w:rPr>
                <w:rFonts w:ascii="SimSun" w:eastAsia="SimSun" w:hAnsi="SimSun" w:cs="SimSun" w:hint="eastAsia"/>
                <w:color w:val="000000"/>
              </w:rPr>
              <w:t>千禧一代的奢侈品观</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第二节 奢侈品历史</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hint="eastAsia"/>
              </w:rPr>
              <w:t>奢侈品历史</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1.2.1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奢侈品历史</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1.2.2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w:t>
            </w:r>
            <w:r w:rsidRPr="008926D2">
              <w:rPr>
                <w:rFonts w:ascii="SimSun" w:eastAsia="SimSun" w:hAnsi="SimSun" w:cs="SimSun" w:hint="eastAsia"/>
                <w:color w:val="000000"/>
              </w:rPr>
              <w:t>演变</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讨论案例：布加迪（</w:t>
            </w:r>
            <w:r w:rsidRPr="008926D2">
              <w:rPr>
                <w:rFonts w:ascii="SimSun" w:eastAsia="SimSun" w:hAnsi="SimSun" w:cs="Calibri"/>
                <w:color w:val="000000"/>
              </w:rPr>
              <w:t>BUGATTI</w:t>
            </w:r>
            <w:r w:rsidRPr="008926D2">
              <w:rPr>
                <w:rFonts w:ascii="SimSun" w:eastAsia="SimSun" w:hAnsi="SimSun" w:cs="SimSun"/>
                <w:color w:val="000000"/>
              </w:rPr>
              <w:t>）</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第二章  奢侈品牌的特征、要素、核心和意义</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品牌的力量：</w:t>
      </w:r>
      <w:r w:rsidRPr="008926D2">
        <w:rPr>
          <w:rFonts w:ascii="SimSun" w:eastAsia="SimSun" w:hAnsi="SimSun" w:cs="SimSun" w:hint="eastAsia"/>
          <w:color w:val="000000"/>
        </w:rPr>
        <w:t>特征与意义</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品牌的力量</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2.1.1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品牌价值</w:t>
            </w:r>
            <w:r w:rsidRPr="008926D2">
              <w:rPr>
                <w:rFonts w:ascii="SimSun" w:eastAsia="SimSun" w:hAnsi="SimSun" w:cs="SimSun" w:hint="eastAsia"/>
                <w:color w:val="000000"/>
              </w:rPr>
              <w:t>与</w:t>
            </w:r>
            <w:r w:rsidRPr="008926D2">
              <w:rPr>
                <w:rFonts w:ascii="SimSun" w:eastAsia="SimSun" w:hAnsi="SimSun" w:cs="SimSun"/>
                <w:color w:val="000000"/>
              </w:rPr>
              <w:t>品牌基础</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2.1.2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品牌特征</w:t>
            </w:r>
            <w:r w:rsidRPr="008926D2">
              <w:rPr>
                <w:rFonts w:ascii="SimSun" w:eastAsia="SimSun" w:hAnsi="SimSun" w:cs="SimSun" w:hint="eastAsia"/>
                <w:color w:val="000000"/>
              </w:rPr>
              <w:t>与要素</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2.1.3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品牌及其符号</w:t>
            </w:r>
            <w:r w:rsidRPr="008926D2">
              <w:rPr>
                <w:rFonts w:ascii="SimSun" w:eastAsia="SimSun" w:hAnsi="SimSun" w:hint="eastAsia"/>
              </w:rPr>
              <w:t>意义</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w:t>
            </w:r>
            <w:r w:rsidRPr="008926D2">
              <w:rPr>
                <w:rFonts w:ascii="SimSun" w:eastAsia="SimSun" w:hAnsi="SimSun" w:cs="SimSun" w:hint="eastAsia"/>
                <w:color w:val="000000"/>
              </w:rPr>
              <w:t>卡地亚</w:t>
            </w:r>
          </w:p>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讨论案例：</w:t>
            </w:r>
            <w:r w:rsidRPr="008926D2">
              <w:rPr>
                <w:rFonts w:ascii="SimSun" w:eastAsia="SimSun" w:hAnsi="SimSun" w:cs="SimSun" w:hint="eastAsia"/>
                <w:color w:val="000000"/>
              </w:rPr>
              <w:t>卡地亚如何吸引千禧一代</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第二节 </w:t>
      </w:r>
      <w:r w:rsidRPr="008926D2">
        <w:rPr>
          <w:rFonts w:ascii="SimSun" w:eastAsia="SimSun" w:hAnsi="SimSun" w:cs="SimSun"/>
          <w:color w:val="000000"/>
        </w:rPr>
        <w:t>品牌及其管理</w:t>
      </w:r>
      <w:r w:rsidRPr="008926D2">
        <w:rPr>
          <w:rFonts w:ascii="SimSun" w:eastAsia="SimSun" w:hAnsi="SimSun" w:cs="SimSun" w:hint="eastAsia"/>
          <w:color w:val="000000"/>
        </w:rPr>
        <w:t>概要</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品牌及其管理</w:t>
            </w:r>
            <w:r w:rsidRPr="008926D2">
              <w:rPr>
                <w:rFonts w:ascii="SimSun" w:eastAsia="SimSun" w:hAnsi="SimSun" w:cs="SimSun" w:hint="eastAsia"/>
                <w:color w:val="000000"/>
              </w:rPr>
              <w:t>概要</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2.2.1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品牌与顾客</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2.2.2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品牌管理概要</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是什么让奢侈品如此不同</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奢侈品成功的关键</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2.2.3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品牌未来发展</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品牌故事：路威酩轩（LVMH）</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w:t>
            </w:r>
            <w:r w:rsidRPr="008926D2">
              <w:rPr>
                <w:rFonts w:ascii="SimSun" w:eastAsia="SimSun" w:hAnsi="SimSun" w:cs="SimSun" w:hint="eastAsia"/>
                <w:color w:val="000000"/>
              </w:rPr>
              <w:t>路威酩轩（LVMH）如何整合旗下品牌</w:t>
            </w:r>
          </w:p>
        </w:tc>
      </w:tr>
    </w:tbl>
    <w:p w:rsidR="008926D2" w:rsidRPr="008926D2" w:rsidRDefault="008926D2" w:rsidP="008926D2">
      <w:pPr>
        <w:rPr>
          <w:rFonts w:ascii="SimSun" w:eastAsia="SimSun" w:hAnsi="SimSun"/>
          <w:b/>
        </w:rPr>
      </w:pPr>
    </w:p>
    <w:p w:rsidR="008926D2" w:rsidRPr="008926D2" w:rsidRDefault="008926D2" w:rsidP="008926D2">
      <w:pPr>
        <w:rPr>
          <w:rFonts w:ascii="SimSun" w:eastAsia="SimSun" w:hAnsi="SimSun"/>
          <w:b/>
        </w:rPr>
      </w:pPr>
      <w:r w:rsidRPr="008926D2">
        <w:rPr>
          <w:rFonts w:ascii="SimSun" w:eastAsia="SimSun" w:hAnsi="SimSun" w:hint="eastAsia"/>
          <w:b/>
        </w:rPr>
        <w:t>第二篇 奢侈品品牌外部环境</w:t>
      </w:r>
    </w:p>
    <w:p w:rsidR="008926D2" w:rsidRPr="008926D2" w:rsidRDefault="008926D2" w:rsidP="008926D2">
      <w:pPr>
        <w:rPr>
          <w:rFonts w:ascii="SimSun" w:eastAsia="SimSun" w:hAnsi="SimSun"/>
        </w:rPr>
      </w:pPr>
      <w:r w:rsidRPr="008926D2">
        <w:rPr>
          <w:rFonts w:ascii="SimSun" w:eastAsia="SimSun" w:hAnsi="SimSun" w:hint="eastAsia"/>
        </w:rPr>
        <w:lastRenderedPageBreak/>
        <w:t>第三章 奢侈品市场与行业</w:t>
      </w:r>
    </w:p>
    <w:p w:rsidR="008926D2" w:rsidRPr="008926D2" w:rsidRDefault="008926D2" w:rsidP="008926D2">
      <w:pPr>
        <w:rPr>
          <w:rFonts w:ascii="SimSun" w:eastAsia="SimSun" w:hAnsi="SimSun"/>
        </w:rPr>
      </w:pPr>
      <w:r w:rsidRPr="008926D2">
        <w:rPr>
          <w:rFonts w:ascii="SimSun" w:eastAsia="SimSun" w:hAnsi="SimSun" w:hint="eastAsia"/>
        </w:rPr>
        <w:t>第一节 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38"/>
      </w:tblGrid>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hint="eastAsia"/>
              </w:rPr>
              <w:t>奢侈品市场</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3.1.1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奢侈品全球市场概览</w:t>
            </w:r>
          </w:p>
        </w:tc>
      </w:tr>
      <w:tr w:rsidR="008926D2" w:rsidRPr="008926D2" w:rsidTr="00222276">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3.1.2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奢侈品全球市场分析</w:t>
            </w:r>
          </w:p>
        </w:tc>
      </w:tr>
      <w:tr w:rsidR="008926D2" w:rsidRPr="008926D2" w:rsidTr="00222276">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3.1.3</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hint="eastAsia"/>
              </w:rPr>
              <w:t>奢侈品市场发展变化与趋势</w:t>
            </w:r>
          </w:p>
        </w:tc>
      </w:tr>
      <w:tr w:rsidR="008926D2" w:rsidRPr="008926D2" w:rsidTr="00222276">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讨论案例：</w:t>
            </w:r>
            <w:r w:rsidRPr="008926D2">
              <w:rPr>
                <w:rFonts w:ascii="SimSun" w:eastAsia="SimSun" w:hAnsi="SimSun" w:cs="SimSun" w:hint="eastAsia"/>
                <w:color w:val="000000"/>
              </w:rPr>
              <w:t>贝恩（BAIN）奢侈品行业报告解读</w:t>
            </w:r>
            <w:r w:rsidRPr="008926D2">
              <w:rPr>
                <w:rFonts w:ascii="SimSun" w:eastAsia="SimSun" w:hAnsi="SimSun" w:hint="eastAsia"/>
              </w:rPr>
              <w:t>及最新行业咨讯等</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第二节 </w:t>
      </w:r>
      <w:r w:rsidRPr="008926D2">
        <w:rPr>
          <w:rFonts w:ascii="SimSun" w:eastAsia="SimSun" w:hAnsi="SimSun" w:cs="SimSun"/>
          <w:color w:val="000000"/>
        </w:rPr>
        <w:t>奢侈品</w:t>
      </w:r>
      <w:r w:rsidRPr="008926D2">
        <w:rPr>
          <w:rFonts w:ascii="SimSun" w:eastAsia="SimSun" w:hAnsi="SimSun" w:cs="SimSun" w:hint="eastAsia"/>
          <w:color w:val="000000"/>
        </w:rPr>
        <w:t>地区</w:t>
      </w:r>
      <w:r w:rsidRPr="008926D2">
        <w:rPr>
          <w:rFonts w:ascii="SimSun" w:eastAsia="SimSun" w:hAnsi="SimSun" w:cs="SimSun"/>
          <w:color w:val="000000"/>
        </w:rPr>
        <w:t>市场环境</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38"/>
      </w:tblGrid>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w:t>
            </w:r>
            <w:r w:rsidRPr="008926D2">
              <w:rPr>
                <w:rFonts w:ascii="SimSun" w:eastAsia="SimSun" w:hAnsi="SimSun" w:cs="SimSun" w:hint="eastAsia"/>
                <w:color w:val="000000"/>
              </w:rPr>
              <w:t>地区</w:t>
            </w:r>
            <w:r w:rsidRPr="008926D2">
              <w:rPr>
                <w:rFonts w:ascii="SimSun" w:eastAsia="SimSun" w:hAnsi="SimSun" w:cs="SimSun"/>
                <w:color w:val="000000"/>
              </w:rPr>
              <w:t>市场环境</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3.2.1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欧洲市场</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3.2.2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美国市场</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3.2.3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日本市场</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3.2.4</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新兴地区市场</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品牌故事：</w:t>
            </w:r>
            <w:r w:rsidRPr="008926D2">
              <w:rPr>
                <w:rFonts w:ascii="SimSun" w:eastAsia="SimSun" w:hAnsi="SimSun" w:cs="SimSun"/>
                <w:color w:val="000000"/>
              </w:rPr>
              <w:t>兰博基尼（</w:t>
            </w:r>
            <w:r w:rsidRPr="008926D2">
              <w:rPr>
                <w:rFonts w:ascii="SimSun" w:eastAsia="SimSun" w:hAnsi="SimSun" w:cs="Calibri"/>
                <w:color w:val="000000"/>
              </w:rPr>
              <w:t>LAMBORGHINI</w:t>
            </w:r>
            <w:r w:rsidRPr="008926D2">
              <w:rPr>
                <w:rFonts w:ascii="SimSun" w:eastAsia="SimSun" w:hAnsi="SimSun" w:cs="SimSun"/>
                <w:color w:val="000000"/>
              </w:rPr>
              <w:t>）浴火重生</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讨论案例：蔻驰（</w:t>
            </w:r>
            <w:r w:rsidRPr="008926D2">
              <w:rPr>
                <w:rFonts w:ascii="SimSun" w:eastAsia="SimSun" w:hAnsi="SimSun" w:cs="Calibri"/>
                <w:color w:val="000000"/>
              </w:rPr>
              <w:t>COACH</w:t>
            </w:r>
            <w:r w:rsidRPr="008926D2">
              <w:rPr>
                <w:rFonts w:ascii="SimSun" w:eastAsia="SimSun" w:hAnsi="SimSun" w:cs="SimSun"/>
                <w:color w:val="000000"/>
              </w:rPr>
              <w:t>）驰骋新兴市场</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第三节 </w:t>
      </w:r>
      <w:r w:rsidRPr="008926D2">
        <w:rPr>
          <w:rFonts w:ascii="SimSun" w:eastAsia="SimSun" w:hAnsi="SimSun" w:cs="SimSun"/>
          <w:color w:val="000000"/>
        </w:rPr>
        <w:t>奢侈品行业</w:t>
      </w:r>
      <w:r w:rsidRPr="008926D2">
        <w:rPr>
          <w:rFonts w:ascii="SimSun" w:eastAsia="SimSun" w:hAnsi="SimSun" w:cs="SimSun" w:hint="eastAsia"/>
          <w:color w:val="000000"/>
        </w:rPr>
        <w:t>与</w:t>
      </w:r>
      <w:r w:rsidRPr="008926D2">
        <w:rPr>
          <w:rFonts w:ascii="SimSun" w:eastAsia="SimSun" w:hAnsi="SimSun" w:cs="SimSun"/>
          <w:color w:val="000000"/>
        </w:rPr>
        <w:t>主要奢侈品部门</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奢侈品行业</w:t>
            </w:r>
            <w:r w:rsidRPr="008926D2">
              <w:rPr>
                <w:rFonts w:ascii="SimSun" w:eastAsia="SimSun" w:hAnsi="SimSun" w:cs="SimSun" w:hint="eastAsia"/>
                <w:color w:val="000000"/>
              </w:rPr>
              <w:t>与</w:t>
            </w:r>
            <w:r w:rsidRPr="008926D2">
              <w:rPr>
                <w:rFonts w:ascii="SimSun" w:eastAsia="SimSun" w:hAnsi="SimSun" w:cs="SimSun"/>
                <w:color w:val="000000"/>
              </w:rPr>
              <w:t>主要奢侈品部门</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3.3.1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成衣业务</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3.3.2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香水及化妆品业务</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3.3.3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酒类业务</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3.3.4</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手表与珠宝市场</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3.3.5</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皮具市场</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3.3.6</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奢侈酒店和招待的世界</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Calibri" w:hint="eastAsia"/>
                <w:color w:val="000000"/>
              </w:rPr>
              <w:t>品牌故事：娇兰香水（GUELAIN）</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Calibri" w:hint="eastAsia"/>
                <w:color w:val="000000"/>
              </w:rPr>
              <w:t>讨论案例：GUCCI的跨界</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第四章 市场参与者</w:t>
      </w:r>
    </w:p>
    <w:p w:rsidR="008926D2" w:rsidRPr="008926D2" w:rsidRDefault="008926D2" w:rsidP="008926D2">
      <w:pPr>
        <w:rPr>
          <w:rFonts w:ascii="SimSun" w:eastAsia="SimSun" w:hAnsi="SimSun"/>
        </w:rPr>
      </w:pPr>
      <w:r w:rsidRPr="008926D2">
        <w:rPr>
          <w:rFonts w:ascii="SimSun" w:eastAsia="SimSun" w:hAnsi="SimSun" w:hint="eastAsia"/>
        </w:rPr>
        <w:t>第一节</w:t>
      </w:r>
      <w:r w:rsidRPr="008926D2">
        <w:rPr>
          <w:rFonts w:ascii="SimSun" w:eastAsia="SimSun" w:hAnsi="SimSun" w:cs="SimSun"/>
          <w:color w:val="000000"/>
        </w:rPr>
        <w:t>奢侈品产业的核心——</w:t>
      </w:r>
      <w:r w:rsidRPr="008926D2">
        <w:rPr>
          <w:rFonts w:ascii="SimSun" w:eastAsia="SimSun" w:hAnsi="SimSun" w:hint="eastAsia"/>
        </w:rPr>
        <w:t>经营者</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奢侈品产业的核心</w:t>
            </w:r>
            <w:r w:rsidRPr="008926D2">
              <w:rPr>
                <w:rFonts w:ascii="SimSun" w:eastAsia="SimSun" w:hAnsi="SimSun" w:cs="Calibri"/>
                <w:color w:val="000000"/>
              </w:rPr>
              <w:t>——</w:t>
            </w:r>
            <w:r w:rsidRPr="008926D2">
              <w:rPr>
                <w:rFonts w:ascii="SimSun" w:eastAsia="SimSun" w:hAnsi="SimSun" w:cs="SimSun"/>
                <w:color w:val="000000"/>
              </w:rPr>
              <w:t>经营者</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4.1.1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主要运营商</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4.1.2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传统供应商的地理分布</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4.1.3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集团化经营趋势下的三大奢侈品王国</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hint="eastAsia"/>
                <w:color w:val="000000"/>
              </w:rPr>
              <w:t>讨论案例</w:t>
            </w:r>
            <w:r w:rsidRPr="008926D2">
              <w:rPr>
                <w:rFonts w:ascii="SimSun" w:eastAsia="SimSun" w:hAnsi="SimSun" w:cs="SimSun"/>
                <w:color w:val="000000"/>
              </w:rPr>
              <w:t>：</w:t>
            </w:r>
            <w:r w:rsidRPr="008926D2">
              <w:rPr>
                <w:rFonts w:ascii="SimSun" w:eastAsia="SimSun" w:hAnsi="SimSun" w:cs="Calibri"/>
                <w:color w:val="000000"/>
              </w:rPr>
              <w:t>LVMH</w:t>
            </w:r>
            <w:r w:rsidRPr="008926D2">
              <w:rPr>
                <w:rFonts w:ascii="SimSun" w:eastAsia="SimSun" w:hAnsi="SimSun" w:cs="SimSun"/>
                <w:color w:val="000000"/>
              </w:rPr>
              <w:t>的价值链经营战略</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第二节 奢侈品消费者及奢侈品消费者行为研究</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hint="eastAsia"/>
              </w:rPr>
              <w:t>奢侈品消费者及奢侈品消费者行为研究</w:t>
            </w:r>
          </w:p>
        </w:tc>
      </w:tr>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4.2.1</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消费者与品牌</w:t>
            </w:r>
          </w:p>
        </w:tc>
      </w:tr>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4.2.2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奢侈品消费群体——谁是奢侈品的顾客（参观者、新顾客）</w:t>
            </w:r>
          </w:p>
        </w:tc>
      </w:tr>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4.2.3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来自不同国家的顾客是否相似</w:t>
            </w:r>
          </w:p>
        </w:tc>
      </w:tr>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4.2.4</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奢侈品消费者决策历程</w:t>
            </w:r>
          </w:p>
        </w:tc>
      </w:tr>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4.2.5</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Calibri"/>
                <w:color w:val="000000"/>
              </w:rPr>
              <w:t>RISC</w:t>
            </w:r>
            <w:r w:rsidRPr="008926D2">
              <w:rPr>
                <w:rFonts w:ascii="SimSun" w:eastAsia="SimSun" w:hAnsi="SimSun" w:cs="SimSun"/>
                <w:color w:val="000000"/>
              </w:rPr>
              <w:t>的研究</w:t>
            </w:r>
          </w:p>
        </w:tc>
      </w:tr>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4.2.6</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奢侈品消费者的心理图表分类</w:t>
            </w:r>
          </w:p>
        </w:tc>
      </w:tr>
      <w:tr w:rsidR="008926D2" w:rsidRPr="008926D2" w:rsidTr="00222276">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品牌故事：</w:t>
            </w:r>
            <w:r w:rsidRPr="008926D2">
              <w:rPr>
                <w:rFonts w:ascii="SimSun" w:eastAsia="SimSun" w:hAnsi="SimSun" w:cs="SimSun"/>
                <w:color w:val="000000"/>
              </w:rPr>
              <w:t>杰尼亚（</w:t>
            </w:r>
            <w:proofErr w:type="spellStart"/>
            <w:r w:rsidRPr="008926D2">
              <w:rPr>
                <w:rFonts w:ascii="SimSun" w:eastAsia="SimSun" w:hAnsi="SimSun" w:cs="SimSun"/>
                <w:color w:val="000000"/>
              </w:rPr>
              <w:t>Zegna</w:t>
            </w:r>
            <w:proofErr w:type="spellEnd"/>
            <w:r w:rsidRPr="008926D2">
              <w:rPr>
                <w:rFonts w:ascii="SimSun" w:eastAsia="SimSun" w:hAnsi="SimSun" w:cs="SimSun"/>
                <w:color w:val="000000"/>
              </w:rPr>
              <w:t>）</w:t>
            </w:r>
          </w:p>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讨论案例：</w:t>
            </w:r>
            <w:r w:rsidRPr="008926D2">
              <w:rPr>
                <w:rFonts w:ascii="SimSun" w:eastAsia="SimSun" w:hAnsi="SimSun" w:cs="SimSun"/>
                <w:color w:val="000000"/>
              </w:rPr>
              <w:t>登喜路（</w:t>
            </w:r>
            <w:proofErr w:type="spellStart"/>
            <w:r w:rsidRPr="008926D2">
              <w:rPr>
                <w:rFonts w:ascii="SimSun" w:eastAsia="SimSun" w:hAnsi="SimSun" w:cs="SimSun"/>
                <w:color w:val="000000"/>
              </w:rPr>
              <w:t>dunhill</w:t>
            </w:r>
            <w:proofErr w:type="spellEnd"/>
            <w:r w:rsidRPr="008926D2">
              <w:rPr>
                <w:rFonts w:ascii="SimSun" w:eastAsia="SimSun" w:hAnsi="SimSun" w:cs="SimSun"/>
                <w:color w:val="000000"/>
              </w:rPr>
              <w:t>）英伦绅士</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b/>
        </w:rPr>
      </w:pPr>
      <w:r w:rsidRPr="008926D2">
        <w:rPr>
          <w:rFonts w:ascii="SimSun" w:eastAsia="SimSun" w:hAnsi="SimSun" w:hint="eastAsia"/>
          <w:b/>
        </w:rPr>
        <w:t>第三篇 奢侈品品牌内部建立的管理机制</w:t>
      </w:r>
    </w:p>
    <w:p w:rsidR="008926D2" w:rsidRPr="008926D2" w:rsidRDefault="008926D2" w:rsidP="008926D2">
      <w:pPr>
        <w:rPr>
          <w:rFonts w:ascii="SimSun" w:eastAsia="SimSun" w:hAnsi="SimSun"/>
        </w:rPr>
      </w:pPr>
      <w:r w:rsidRPr="008926D2">
        <w:rPr>
          <w:rFonts w:ascii="SimSun" w:eastAsia="SimSun" w:hAnsi="SimSun" w:hint="eastAsia"/>
        </w:rPr>
        <w:t>第五章 品牌文化与定位</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奢侈品品牌文化</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奢侈品品牌文化</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5.1.1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奢侈品品牌文化特征</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5.1.2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奢侈品品牌文化定位</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5.1.3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跨文化奢侈品品牌管理</w:t>
            </w:r>
          </w:p>
        </w:tc>
      </w:tr>
      <w:tr w:rsidR="008926D2" w:rsidRPr="008926D2" w:rsidTr="00222276">
        <w:trPr>
          <w:trHeight w:val="312"/>
        </w:trPr>
        <w:tc>
          <w:tcPr>
            <w:tcW w:w="66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品牌故事：卡地亚（</w:t>
            </w:r>
            <w:r w:rsidRPr="008926D2">
              <w:rPr>
                <w:rFonts w:ascii="SimSun" w:eastAsia="SimSun" w:hAnsi="SimSun" w:cs="Calibri"/>
                <w:color w:val="000000"/>
              </w:rPr>
              <w:t>Cartier</w:t>
            </w:r>
            <w:r w:rsidRPr="008926D2">
              <w:rPr>
                <w:rFonts w:ascii="SimSun" w:eastAsia="SimSun" w:hAnsi="SimSun" w:cs="SimSun"/>
                <w:color w:val="000000"/>
              </w:rPr>
              <w:t>）奢华的态度</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讨论案例：爱马仕（</w:t>
            </w:r>
            <w:r w:rsidRPr="008926D2">
              <w:rPr>
                <w:rFonts w:ascii="SimSun" w:eastAsia="SimSun" w:hAnsi="SimSun" w:cs="Calibri"/>
                <w:color w:val="000000"/>
              </w:rPr>
              <w:t>Herm</w:t>
            </w:r>
            <w:r w:rsidRPr="008926D2">
              <w:rPr>
                <w:rFonts w:ascii="SimSun" w:eastAsia="SimSun" w:hAnsi="SimSun" w:cs="Calibri" w:hint="eastAsia"/>
                <w:color w:val="000000"/>
              </w:rPr>
              <w:t>é</w:t>
            </w:r>
            <w:r w:rsidRPr="008926D2">
              <w:rPr>
                <w:rFonts w:ascii="SimSun" w:eastAsia="SimSun" w:hAnsi="SimSun" w:cs="Calibri"/>
                <w:color w:val="000000"/>
                <w:sz w:val="24"/>
                <w:szCs w:val="24"/>
              </w:rPr>
              <w:t>s</w:t>
            </w:r>
            <w:r w:rsidRPr="008926D2">
              <w:rPr>
                <w:rFonts w:ascii="SimSun" w:eastAsia="SimSun" w:hAnsi="SimSun" w:cs="SimSun"/>
                <w:color w:val="000000"/>
                <w:sz w:val="24"/>
                <w:szCs w:val="24"/>
              </w:rPr>
              <w:t>）橙色经典，斑斓诱惑</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第二节</w:t>
      </w:r>
      <w:r w:rsidRPr="008926D2">
        <w:rPr>
          <w:rFonts w:ascii="SimSun" w:eastAsia="SimSun" w:hAnsi="SimSun" w:cs="SimSun" w:hint="eastAsia"/>
          <w:color w:val="000000"/>
        </w:rPr>
        <w:t xml:space="preserve"> </w:t>
      </w:r>
      <w:r w:rsidRPr="008926D2">
        <w:rPr>
          <w:rFonts w:ascii="SimSun" w:eastAsia="SimSun" w:hAnsi="SimSun" w:cs="SimSun"/>
          <w:color w:val="000000"/>
        </w:rPr>
        <w:t>品牌</w:t>
      </w:r>
      <w:r w:rsidRPr="008926D2">
        <w:rPr>
          <w:rFonts w:ascii="SimSun" w:eastAsia="SimSun" w:hAnsi="SimSun" w:cs="SimSun" w:hint="eastAsia"/>
          <w:color w:val="000000"/>
        </w:rPr>
        <w:t>定位分析</w:t>
      </w:r>
      <w:r w:rsidRPr="008926D2">
        <w:rPr>
          <w:rFonts w:ascii="SimSun" w:eastAsia="SimSun" w:hAnsi="SimSun" w:cs="SimSun"/>
          <w:color w:val="000000"/>
        </w:rPr>
        <w:t>的工具</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w:t>
            </w:r>
            <w:r w:rsidRPr="008926D2">
              <w:rPr>
                <w:rFonts w:ascii="SimSun" w:eastAsia="SimSun" w:hAnsi="SimSun" w:cs="SimSun" w:hint="eastAsia"/>
                <w:color w:val="000000"/>
              </w:rPr>
              <w:t>定位分析</w:t>
            </w:r>
            <w:r w:rsidRPr="008926D2">
              <w:rPr>
                <w:rFonts w:ascii="SimSun" w:eastAsia="SimSun" w:hAnsi="SimSun" w:cs="SimSun"/>
                <w:color w:val="000000"/>
              </w:rPr>
              <w:t>的工具</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品牌生命周期</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品牌的诞生</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品牌的成长</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5.2.4</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品牌的成熟</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5.2.5</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衰退、重新推出和品牌的消亡</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5.2.6</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品牌识别</w:t>
            </w:r>
            <w:r w:rsidRPr="008926D2">
              <w:rPr>
                <w:rFonts w:ascii="SimSun" w:eastAsia="SimSun" w:hAnsi="SimSun" w:cs="SimSun" w:hint="eastAsia"/>
                <w:color w:val="000000"/>
              </w:rPr>
              <w:t>定位模型</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5.2.7</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一个仍旧太陌生的概念</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5.2.8</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其他分析模型</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5.2.9</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识别概念的局限：战略层面与操作层面的意义</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讨论案例：GUCCI的品牌生命周期解析</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lastRenderedPageBreak/>
        <w:t>第六章  产品创造、创新与定价策略</w:t>
      </w:r>
    </w:p>
    <w:p w:rsidR="008926D2" w:rsidRPr="008926D2" w:rsidRDefault="008926D2" w:rsidP="008926D2">
      <w:pPr>
        <w:spacing w:after="0" w:line="240" w:lineRule="auto"/>
        <w:rPr>
          <w:rFonts w:ascii="SimSun" w:eastAsia="SimSun" w:hAnsi="SimSun" w:cs="SimSun"/>
          <w:color w:val="000000"/>
        </w:rPr>
      </w:pPr>
      <w:r w:rsidRPr="008926D2">
        <w:rPr>
          <w:rFonts w:ascii="SimSun" w:eastAsia="SimSun" w:hAnsi="SimSun" w:hint="eastAsia"/>
        </w:rPr>
        <w:t xml:space="preserve">第一节　</w:t>
      </w:r>
      <w:r w:rsidRPr="008926D2">
        <w:rPr>
          <w:rFonts w:ascii="SimSun" w:eastAsia="SimSun" w:hAnsi="SimSun" w:cs="SimSun"/>
          <w:color w:val="000000"/>
        </w:rPr>
        <w:t>奢侈品产业的灵魂：设计</w:t>
      </w:r>
    </w:p>
    <w:p w:rsidR="008926D2" w:rsidRPr="008926D2" w:rsidRDefault="008926D2" w:rsidP="008926D2">
      <w:pPr>
        <w:spacing w:after="0" w:line="240" w:lineRule="auto"/>
        <w:rPr>
          <w:rFonts w:ascii="SimSun" w:eastAsia="SimSun" w:hAnsi="SimSun" w:cs="Calibri"/>
          <w:color w:val="000000"/>
        </w:rPr>
      </w:pP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theme="minorHAnsi"/>
                <w:color w:val="000000"/>
              </w:rPr>
            </w:pPr>
            <w:r w:rsidRPr="008926D2">
              <w:rPr>
                <w:rFonts w:ascii="SimSun" w:eastAsia="SimSun" w:hAnsi="SimSun" w:cs="Calibri"/>
                <w:color w:val="000000"/>
              </w:rPr>
              <w:t>6.1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奢侈品产业的灵魂：设计</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theme="minorHAnsi"/>
                <w:color w:val="000000"/>
              </w:rPr>
            </w:pPr>
            <w:r w:rsidRPr="008926D2">
              <w:rPr>
                <w:rFonts w:ascii="SimSun" w:eastAsia="SimSun" w:hAnsi="SimSun" w:cs="Calibri"/>
                <w:color w:val="000000"/>
              </w:rPr>
              <w:t>6.1.</w:t>
            </w:r>
            <w:r w:rsidRPr="008926D2">
              <w:rPr>
                <w:rFonts w:ascii="SimSun" w:eastAsia="SimSun" w:hAnsi="SimSun" w:cstheme="minorHAnsi"/>
                <w:color w:val="000000"/>
              </w:rPr>
              <w:t>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设计</w:t>
            </w:r>
            <w:r w:rsidRPr="008926D2">
              <w:rPr>
                <w:rFonts w:ascii="SimSun" w:eastAsia="SimSun" w:hAnsi="SimSun" w:cs="SimSun" w:hint="eastAsia"/>
                <w:color w:val="000000"/>
              </w:rPr>
              <w:t>与设计师</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theme="minorHAnsi"/>
                <w:color w:val="000000"/>
              </w:rPr>
            </w:pPr>
            <w:r w:rsidRPr="008926D2">
              <w:rPr>
                <w:rFonts w:ascii="SimSun" w:eastAsia="SimSun" w:hAnsi="SimSun" w:cs="Calibri"/>
                <w:color w:val="000000"/>
              </w:rPr>
              <w:t>6.1.</w:t>
            </w:r>
            <w:r w:rsidRPr="008926D2">
              <w:rPr>
                <w:rFonts w:ascii="SimSun" w:eastAsia="SimSun" w:hAnsi="SimSun" w:cstheme="minorHAnsi"/>
                <w:color w:val="000000"/>
              </w:rPr>
              <w:t>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设计的意义</w:t>
            </w:r>
            <w:r w:rsidRPr="008926D2">
              <w:rPr>
                <w:rFonts w:ascii="SimSun" w:eastAsia="SimSun" w:hAnsi="SimSun" w:cs="Calibri" w:hint="eastAsia"/>
                <w:color w:val="000000"/>
              </w:rPr>
              <w:t>：</w:t>
            </w:r>
            <w:r w:rsidRPr="008926D2">
              <w:rPr>
                <w:rFonts w:ascii="SimSun" w:eastAsia="SimSun" w:hAnsi="SimSun" w:cs="SimSun"/>
                <w:color w:val="000000"/>
              </w:rPr>
              <w:t>生活方式的塑造</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6.1.3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高端定制化趋势和低端流行化趋势</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hint="eastAsia"/>
                <w:color w:val="000000"/>
              </w:rPr>
              <w:t>讨论</w:t>
            </w:r>
            <w:r w:rsidRPr="008926D2">
              <w:rPr>
                <w:rFonts w:ascii="SimSun" w:eastAsia="SimSun" w:hAnsi="SimSun" w:cs="SimSun"/>
                <w:color w:val="000000"/>
              </w:rPr>
              <w:t>案例：百达翡丽（</w:t>
            </w:r>
            <w:proofErr w:type="spellStart"/>
            <w:r w:rsidRPr="008926D2">
              <w:rPr>
                <w:rFonts w:ascii="SimSun" w:eastAsia="SimSun" w:hAnsi="SimSun" w:cs="Calibri"/>
                <w:color w:val="000000"/>
              </w:rPr>
              <w:t>Patek</w:t>
            </w:r>
            <w:proofErr w:type="spellEnd"/>
            <w:r w:rsidRPr="008926D2">
              <w:rPr>
                <w:rFonts w:ascii="SimSun" w:eastAsia="SimSun" w:hAnsi="SimSun" w:cs="Calibri"/>
                <w:color w:val="000000"/>
              </w:rPr>
              <w:t xml:space="preserve"> Philippe）</w:t>
            </w:r>
            <w:r w:rsidRPr="008926D2">
              <w:rPr>
                <w:rFonts w:ascii="SimSun" w:eastAsia="SimSun" w:hAnsi="SimSun" w:cs="SimSun"/>
                <w:color w:val="000000"/>
              </w:rPr>
              <w:t>与劳力士（</w:t>
            </w:r>
            <w:r w:rsidRPr="008926D2">
              <w:rPr>
                <w:rFonts w:ascii="SimSun" w:eastAsia="SimSun" w:hAnsi="SimSun" w:cs="SimSun" w:hint="eastAsia"/>
                <w:color w:val="000000"/>
              </w:rPr>
              <w:t>Rolex）</w:t>
            </w:r>
            <w:r w:rsidRPr="008926D2">
              <w:rPr>
                <w:rFonts w:ascii="SimSun" w:eastAsia="SimSun" w:hAnsi="SimSun" w:cs="SimSun"/>
                <w:color w:val="000000"/>
              </w:rPr>
              <w:t>孰轻孰重</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第二节　</w:t>
      </w:r>
      <w:r w:rsidRPr="008926D2">
        <w:rPr>
          <w:rFonts w:ascii="SimSun" w:eastAsia="SimSun" w:hAnsi="SimSun" w:cs="SimSun"/>
          <w:color w:val="000000"/>
        </w:rPr>
        <w:t>奢侈品产业的保证：生产</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奢侈品产业的保证：生产</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6.2.1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核心产品的手工生产</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6.2.2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非核心产品的外包趋势</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6.2.3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原产地之谜</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品牌故事：爱马仕</w:t>
            </w:r>
            <w:r w:rsidRPr="008926D2">
              <w:rPr>
                <w:rFonts w:ascii="SimSun" w:eastAsia="SimSun" w:hAnsi="SimSun" w:cs="SimSun"/>
                <w:color w:val="000000"/>
              </w:rPr>
              <w:t>（</w:t>
            </w:r>
            <w:r w:rsidRPr="008926D2">
              <w:rPr>
                <w:rFonts w:ascii="SimSun" w:eastAsia="SimSun" w:hAnsi="SimSun" w:cs="Calibri"/>
                <w:color w:val="000000"/>
              </w:rPr>
              <w:t>Herm</w:t>
            </w:r>
            <w:r w:rsidRPr="008926D2">
              <w:rPr>
                <w:rFonts w:ascii="SimSun" w:eastAsia="SimSun" w:hAnsi="SimSun" w:cs="Calibri" w:hint="eastAsia"/>
                <w:color w:val="000000"/>
              </w:rPr>
              <w:t>é</w:t>
            </w:r>
            <w:r w:rsidRPr="008926D2">
              <w:rPr>
                <w:rFonts w:ascii="SimSun" w:eastAsia="SimSun" w:hAnsi="SimSun" w:cs="Calibri"/>
                <w:color w:val="000000"/>
                <w:sz w:val="24"/>
                <w:szCs w:val="24"/>
              </w:rPr>
              <w:t>s</w:t>
            </w:r>
            <w:r w:rsidRPr="008926D2">
              <w:rPr>
                <w:rFonts w:ascii="SimSun" w:eastAsia="SimSun" w:hAnsi="SimSun" w:cs="SimSun"/>
                <w:color w:val="000000"/>
                <w:sz w:val="24"/>
                <w:szCs w:val="24"/>
              </w:rPr>
              <w:t>）</w:t>
            </w:r>
            <w:r w:rsidRPr="008926D2">
              <w:rPr>
                <w:rFonts w:ascii="SimSun" w:eastAsia="SimSun" w:hAnsi="SimSun" w:cs="SimSun" w:hint="eastAsia"/>
                <w:color w:val="000000"/>
              </w:rPr>
              <w:t>的工艺</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hint="eastAsia"/>
                <w:color w:val="000000"/>
              </w:rPr>
              <w:t>讨论</w:t>
            </w:r>
            <w:r w:rsidRPr="008926D2">
              <w:rPr>
                <w:rFonts w:ascii="SimSun" w:eastAsia="SimSun" w:hAnsi="SimSun" w:cs="SimSun"/>
                <w:color w:val="000000"/>
              </w:rPr>
              <w:t>案例：巴宝莉（</w:t>
            </w:r>
            <w:r w:rsidRPr="008926D2">
              <w:rPr>
                <w:rFonts w:ascii="SimSun" w:eastAsia="SimSun" w:hAnsi="SimSun" w:cs="SimSun" w:hint="eastAsia"/>
                <w:color w:val="000000"/>
              </w:rPr>
              <w:t>BURBERRY）</w:t>
            </w:r>
            <w:r w:rsidRPr="008926D2">
              <w:rPr>
                <w:rFonts w:ascii="SimSun" w:eastAsia="SimSun" w:hAnsi="SimSun" w:cs="SimSun"/>
                <w:color w:val="000000"/>
              </w:rPr>
              <w:t>从英国制造到日本制造再到中国制造</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第三节 </w:t>
      </w:r>
      <w:r w:rsidRPr="008926D2">
        <w:rPr>
          <w:rFonts w:ascii="SimSun" w:eastAsia="SimSun" w:hAnsi="SimSun" w:cs="SimSun"/>
          <w:color w:val="000000"/>
        </w:rPr>
        <w:t>奢侈品产品创新和定价策略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38"/>
      </w:tblGrid>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奢侈品产品创新和定价策略</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6.3.1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奢侈品产品创新</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6.3.2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奢侈品创意管理</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创意活动的本性</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产品管理</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品牌美学</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品牌与艺术</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6.3.3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奢侈品品牌独特定价</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w:t>
            </w:r>
            <w:r w:rsidRPr="008926D2">
              <w:rPr>
                <w:rFonts w:ascii="SimSun" w:eastAsia="SimSun" w:hAnsi="SimSun" w:cs="Calibri" w:hint="eastAsia"/>
                <w:color w:val="000000"/>
              </w:rPr>
              <w:t>威图（</w:t>
            </w:r>
            <w:r w:rsidRPr="008926D2">
              <w:rPr>
                <w:rFonts w:ascii="SimSun" w:eastAsia="SimSun" w:hAnsi="SimSun" w:cs="Calibri"/>
                <w:color w:val="000000"/>
              </w:rPr>
              <w:t>VERTU）</w:t>
            </w:r>
            <w:r w:rsidRPr="008926D2">
              <w:rPr>
                <w:rFonts w:ascii="SimSun" w:eastAsia="SimSun" w:hAnsi="SimSun" w:cs="SimSun"/>
                <w:color w:val="000000"/>
              </w:rPr>
              <w:t>奢华定位品位</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讨论案例：伯瓷酒店（</w:t>
            </w:r>
            <w:r w:rsidRPr="008926D2">
              <w:rPr>
                <w:rFonts w:ascii="SimSun" w:eastAsia="SimSun" w:hAnsi="SimSun" w:cs="Calibri"/>
                <w:color w:val="000000"/>
              </w:rPr>
              <w:t>BURJ AL—ARAB</w:t>
            </w:r>
            <w:r w:rsidRPr="008926D2">
              <w:rPr>
                <w:rFonts w:ascii="SimSun" w:eastAsia="SimSun" w:hAnsi="SimSun" w:cs="SimSun"/>
                <w:color w:val="000000"/>
              </w:rPr>
              <w:t>）天上人间</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第七章 </w:t>
      </w:r>
      <w:r w:rsidRPr="008926D2">
        <w:rPr>
          <w:rFonts w:ascii="SimSun" w:eastAsia="SimSun" w:hAnsi="SimSun" w:cs="SimSun"/>
          <w:color w:val="000000"/>
        </w:rPr>
        <w:t>奢侈品品牌传播</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奢侈品品牌传播</w:t>
      </w:r>
      <w:r w:rsidRPr="008926D2">
        <w:rPr>
          <w:rFonts w:ascii="SimSun" w:eastAsia="SimSun" w:hAnsi="SimSun" w:cs="SimSun" w:hint="eastAsia"/>
          <w:color w:val="000000"/>
        </w:rPr>
        <w:t>基础</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奢侈品品牌传播</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7.1.1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奢侈品品牌传播概述</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7.1.2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奢侈品品牌传播模型</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lastRenderedPageBreak/>
              <w:t>7.1.3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奢侈品品牌传播应用</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品牌故事：宾利（</w:t>
            </w:r>
            <w:r w:rsidRPr="008926D2">
              <w:rPr>
                <w:rFonts w:ascii="SimSun" w:eastAsia="SimSun" w:hAnsi="SimSun" w:cs="Calibri"/>
                <w:color w:val="000000"/>
              </w:rPr>
              <w:t>BENTLEY</w:t>
            </w:r>
            <w:r w:rsidRPr="008926D2">
              <w:rPr>
                <w:rFonts w:ascii="SimSun" w:eastAsia="SimSun" w:hAnsi="SimSun" w:cs="SimSun"/>
                <w:color w:val="000000"/>
              </w:rPr>
              <w:t>）</w:t>
            </w:r>
            <w:r w:rsidRPr="008926D2">
              <w:rPr>
                <w:rFonts w:ascii="SimSun" w:eastAsia="SimSun" w:hAnsi="SimSun" w:cs="SimSun" w:hint="eastAsia"/>
                <w:color w:val="000000"/>
              </w:rPr>
              <w:t>的</w:t>
            </w:r>
            <w:r w:rsidRPr="008926D2">
              <w:rPr>
                <w:rFonts w:ascii="SimSun" w:eastAsia="SimSun" w:hAnsi="SimSun" w:cs="SimSun"/>
                <w:color w:val="000000"/>
              </w:rPr>
              <w:t>世界</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讨论案例：蒂芙尼（</w:t>
            </w:r>
            <w:r w:rsidRPr="008926D2">
              <w:rPr>
                <w:rFonts w:ascii="SimSun" w:eastAsia="SimSun" w:hAnsi="SimSun" w:cs="Calibri"/>
                <w:color w:val="000000"/>
              </w:rPr>
              <w:t>TIFFANY</w:t>
            </w:r>
            <w:r w:rsidRPr="008926D2">
              <w:rPr>
                <w:rFonts w:ascii="SimSun" w:eastAsia="SimSun" w:hAnsi="SimSun" w:cs="SimSun"/>
                <w:color w:val="000000"/>
              </w:rPr>
              <w:t>）早餐的艺术回声</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第二节 品牌</w:t>
      </w:r>
      <w:r w:rsidRPr="008926D2">
        <w:rPr>
          <w:rFonts w:ascii="SimSun" w:eastAsia="SimSun" w:hAnsi="SimSun" w:cs="SimSun"/>
          <w:color w:val="000000"/>
        </w:rPr>
        <w:t>传播</w:t>
      </w:r>
      <w:r w:rsidRPr="008926D2">
        <w:rPr>
          <w:rFonts w:ascii="SimSun" w:eastAsia="SimSun" w:hAnsi="SimSun" w:cs="SimSun" w:hint="eastAsia"/>
          <w:color w:val="000000"/>
        </w:rPr>
        <w:t>的运作</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hint="eastAsia"/>
              </w:rPr>
              <w:t>品牌</w:t>
            </w:r>
            <w:r w:rsidRPr="008926D2">
              <w:rPr>
                <w:rFonts w:ascii="SimSun" w:eastAsia="SimSun" w:hAnsi="SimSun" w:cs="SimSun"/>
                <w:color w:val="000000"/>
              </w:rPr>
              <w:t>传播</w:t>
            </w:r>
            <w:r w:rsidRPr="008926D2">
              <w:rPr>
                <w:rFonts w:ascii="SimSun" w:eastAsia="SimSun" w:hAnsi="SimSun" w:cs="SimSun" w:hint="eastAsia"/>
                <w:color w:val="000000"/>
              </w:rPr>
              <w:t>的运作</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Calibri"/>
                <w:color w:val="000000"/>
              </w:rPr>
              <w:t>4P</w:t>
            </w:r>
            <w:r w:rsidRPr="008926D2">
              <w:rPr>
                <w:rFonts w:ascii="SimSun" w:eastAsia="SimSun" w:hAnsi="SimSun" w:cs="SimSun"/>
                <w:color w:val="000000"/>
              </w:rPr>
              <w:t>理论已过时</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广告</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公关、活动、促销和网络</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7.2.4</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产品的地位</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7.2.5</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公司行为</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7.2.6</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实际消费者</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7.2.7</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什么是好的传播</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rPr>
            </w:pP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rPr>
            </w:pPr>
            <w:r w:rsidRPr="008926D2">
              <w:rPr>
                <w:rFonts w:ascii="SimSun" w:eastAsia="SimSun" w:hAnsi="SimSun" w:cs="SimSun"/>
              </w:rPr>
              <w:t>讨论案例：中国市场的品牌沟通</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第八章  </w:t>
      </w:r>
      <w:r w:rsidRPr="008926D2">
        <w:rPr>
          <w:rFonts w:ascii="SimSun" w:eastAsia="SimSun" w:hAnsi="SimSun" w:cs="SimSun"/>
          <w:color w:val="000000"/>
        </w:rPr>
        <w:t>奢侈品</w:t>
      </w:r>
      <w:r w:rsidRPr="008926D2">
        <w:rPr>
          <w:rFonts w:ascii="SimSun" w:eastAsia="SimSun" w:hAnsi="SimSun" w:hint="eastAsia"/>
        </w:rPr>
        <w:t>品牌营销与体验创造</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奢侈品</w:t>
      </w:r>
      <w:r w:rsidRPr="008926D2">
        <w:rPr>
          <w:rFonts w:ascii="SimSun" w:eastAsia="SimSun" w:hAnsi="SimSun" w:hint="eastAsia"/>
        </w:rPr>
        <w:t>品牌营销的管理</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4"/>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hint="eastAsia"/>
                <w:color w:val="000000"/>
              </w:rPr>
              <w:t>8.1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w:t>
            </w:r>
            <w:r w:rsidRPr="008926D2">
              <w:rPr>
                <w:rFonts w:ascii="SimSun" w:eastAsia="SimSun" w:hAnsi="SimSun" w:hint="eastAsia"/>
              </w:rPr>
              <w:t>品牌营销的管理</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hint="eastAsia"/>
                <w:color w:val="000000"/>
              </w:rPr>
              <w:t>8.1</w:t>
            </w:r>
            <w:r w:rsidRPr="008926D2">
              <w:rPr>
                <w:rFonts w:ascii="SimSun" w:eastAsia="SimSun" w:hAnsi="SimSun" w:cs="Calibri"/>
                <w:color w:val="000000"/>
              </w:rPr>
              <w:t>.1</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产品多元化管理</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hint="eastAsia"/>
                <w:color w:val="000000"/>
              </w:rPr>
              <w:t>8.1</w:t>
            </w:r>
            <w:r w:rsidRPr="008926D2">
              <w:rPr>
                <w:rFonts w:ascii="SimSun" w:eastAsia="SimSun" w:hAnsi="SimSun" w:cs="Calibri"/>
                <w:color w:val="000000"/>
              </w:rPr>
              <w:t>.2</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价格层级式管理</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hint="eastAsia"/>
                <w:color w:val="000000"/>
              </w:rPr>
              <w:t>8.1</w:t>
            </w:r>
            <w:r w:rsidRPr="008926D2">
              <w:rPr>
                <w:rFonts w:ascii="SimSun" w:eastAsia="SimSun" w:hAnsi="SimSun" w:cs="Calibri"/>
                <w:color w:val="000000"/>
              </w:rPr>
              <w:t>.3</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渠道控制化管理</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hint="eastAsia"/>
                <w:color w:val="000000"/>
              </w:rPr>
              <w:t>8.1</w:t>
            </w:r>
            <w:r w:rsidRPr="008926D2">
              <w:rPr>
                <w:rFonts w:ascii="SimSun" w:eastAsia="SimSun" w:hAnsi="SimSun" w:cs="Calibri"/>
                <w:color w:val="000000"/>
              </w:rPr>
              <w:t>.4</w:t>
            </w:r>
          </w:p>
        </w:tc>
        <w:tc>
          <w:tcPr>
            <w:tcW w:w="7994"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促销特色化管理</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第二节 </w:t>
      </w:r>
      <w:r w:rsidRPr="008926D2">
        <w:rPr>
          <w:rFonts w:ascii="SimSun" w:eastAsia="SimSun" w:hAnsi="SimSun" w:cs="SimSun"/>
          <w:color w:val="000000"/>
        </w:rPr>
        <w:t>奢侈品品牌体验</w:t>
      </w:r>
      <w:r w:rsidRPr="008926D2">
        <w:rPr>
          <w:rFonts w:ascii="SimSun" w:eastAsia="SimSun" w:hAnsi="SimSun" w:cs="SimSun" w:hint="eastAsia"/>
          <w:color w:val="000000"/>
        </w:rPr>
        <w:t>创造</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38"/>
      </w:tblGrid>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8.2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奢侈品品牌体验</w:t>
            </w:r>
            <w:r w:rsidRPr="008926D2">
              <w:rPr>
                <w:rFonts w:ascii="SimSun" w:eastAsia="SimSun" w:hAnsi="SimSun" w:cs="SimSun" w:hint="eastAsia"/>
                <w:color w:val="000000"/>
              </w:rPr>
              <w:t>创造</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8.2.1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奢侈品营销独特性</w:t>
            </w:r>
            <w:r w:rsidRPr="008926D2">
              <w:rPr>
                <w:rFonts w:ascii="SimSun" w:eastAsia="SimSun" w:hAnsi="SimSun" w:cs="SimSun" w:hint="eastAsia"/>
                <w:color w:val="000000"/>
              </w:rPr>
              <w:t>创造</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8.2.2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奢侈品营销方式</w:t>
            </w:r>
            <w:r w:rsidRPr="008926D2">
              <w:rPr>
                <w:rFonts w:ascii="SimSun" w:eastAsia="SimSun" w:hAnsi="SimSun" w:cs="SimSun" w:hint="eastAsia"/>
                <w:color w:val="000000"/>
              </w:rPr>
              <w:t>选择与设计</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8.2.3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奢侈品营销中的品牌体验</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品牌故事：依云（</w:t>
            </w:r>
            <w:r w:rsidRPr="008926D2">
              <w:rPr>
                <w:rFonts w:ascii="SimSun" w:eastAsia="SimSun" w:hAnsi="SimSun" w:cs="Calibri"/>
                <w:color w:val="000000"/>
              </w:rPr>
              <w:t>EVIAN</w:t>
            </w:r>
            <w:r w:rsidRPr="008926D2">
              <w:rPr>
                <w:rFonts w:ascii="SimSun" w:eastAsia="SimSun" w:hAnsi="SimSun" w:cs="SimSun"/>
                <w:color w:val="000000"/>
              </w:rPr>
              <w:t>）</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讨论案例：普拉达（</w:t>
            </w:r>
            <w:r w:rsidRPr="008926D2">
              <w:rPr>
                <w:rFonts w:ascii="SimSun" w:eastAsia="SimSun" w:hAnsi="SimSun" w:cs="Calibri"/>
                <w:color w:val="000000"/>
              </w:rPr>
              <w:t>PRADA</w:t>
            </w:r>
            <w:r w:rsidRPr="008926D2">
              <w:rPr>
                <w:rFonts w:ascii="SimSun" w:eastAsia="SimSun" w:hAnsi="SimSun" w:cs="SimSun"/>
                <w:color w:val="000000"/>
              </w:rPr>
              <w:t>）旗舰店</w:t>
            </w:r>
            <w:r w:rsidRPr="008926D2">
              <w:rPr>
                <w:rFonts w:ascii="SimSun" w:eastAsia="SimSun" w:hAnsi="SimSun" w:cs="Calibri"/>
                <w:color w:val="000000"/>
              </w:rPr>
              <w:t>Epicenter</w:t>
            </w:r>
            <w:r w:rsidRPr="008926D2">
              <w:rPr>
                <w:rFonts w:ascii="SimSun" w:eastAsia="SimSun" w:hAnsi="SimSun" w:cs="SimSun"/>
                <w:color w:val="000000"/>
              </w:rPr>
              <w:t>终极震撼</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第九章 分销与销售</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奢侈品分销渠道</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38"/>
      </w:tblGrid>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奢侈品分销渠道</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lastRenderedPageBreak/>
              <w:t>9.1.1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奢侈品渠道结构</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9.1.2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奢侈品销售终端类型</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9.1.3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奢侈品销售终端管理</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讨论案例：保时捷（</w:t>
            </w:r>
            <w:r w:rsidRPr="008926D2">
              <w:rPr>
                <w:rFonts w:ascii="SimSun" w:eastAsia="SimSun" w:hAnsi="SimSun" w:cs="Calibri"/>
                <w:color w:val="000000"/>
              </w:rPr>
              <w:t>Porsche</w:t>
            </w:r>
            <w:r w:rsidRPr="008926D2">
              <w:rPr>
                <w:rFonts w:ascii="SimSun" w:eastAsia="SimSun" w:hAnsi="SimSun" w:cs="SimSun"/>
                <w:color w:val="000000"/>
              </w:rPr>
              <w:t>）</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cs="SimSun" w:hint="eastAsia"/>
          <w:color w:val="000000"/>
        </w:rPr>
        <w:t xml:space="preserve">第二节 </w:t>
      </w:r>
      <w:r w:rsidRPr="008926D2">
        <w:rPr>
          <w:rFonts w:ascii="SimSun" w:eastAsia="SimSun" w:hAnsi="SimSun" w:cs="SimSun"/>
          <w:color w:val="000000"/>
        </w:rPr>
        <w:t>国际分销</w:t>
      </w:r>
      <w:r w:rsidRPr="008926D2">
        <w:rPr>
          <w:rFonts w:ascii="SimSun" w:eastAsia="SimSun" w:hAnsi="SimSun" w:cs="SimSun" w:hint="eastAsia"/>
          <w:color w:val="000000"/>
        </w:rPr>
        <w:t>体系</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5"/>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9.2</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国际分销</w:t>
            </w:r>
            <w:r w:rsidRPr="008926D2">
              <w:rPr>
                <w:rFonts w:ascii="SimSun" w:eastAsia="SimSun" w:hAnsi="SimSun" w:cs="SimSun" w:hint="eastAsia"/>
                <w:color w:val="000000"/>
              </w:rPr>
              <w:t>体系</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9.2.1</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国际分销体系</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9.2.2</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不同的分销体系</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9.2.3</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价格构成</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9.2.4</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广告预算与广告策略</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9.2.5</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免税店业务中的特殊情况</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9.2.6</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平行市场：原因和结果</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品牌故事：万宝龙（</w:t>
            </w:r>
            <w:r w:rsidRPr="008926D2">
              <w:rPr>
                <w:rFonts w:ascii="SimSun" w:eastAsia="SimSun" w:hAnsi="SimSun" w:cs="Calibri"/>
                <w:color w:val="000000"/>
              </w:rPr>
              <w:t>MONT BLANC</w:t>
            </w:r>
            <w:r w:rsidRPr="008926D2">
              <w:rPr>
                <w:rFonts w:ascii="SimSun" w:eastAsia="SimSun" w:hAnsi="SimSun" w:cs="SimSun"/>
                <w:color w:val="000000"/>
              </w:rPr>
              <w:t>）中国</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第三节 奢侈品零售</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5"/>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9.3</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hint="eastAsia"/>
              </w:rPr>
              <w:t>奢侈品</w:t>
            </w:r>
            <w:r w:rsidRPr="008926D2">
              <w:rPr>
                <w:rFonts w:ascii="SimSun" w:eastAsia="SimSun" w:hAnsi="SimSun" w:cs="SimSun"/>
                <w:color w:val="000000"/>
              </w:rPr>
              <w:t>零售</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9.3.1</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背景分析</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9.3.2</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奢侈品领域的零售</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9.3.3</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作为沟通工具的店铺</w:t>
            </w:r>
            <w:r w:rsidRPr="008926D2">
              <w:rPr>
                <w:rFonts w:ascii="SimSun" w:eastAsia="SimSun" w:hAnsi="SimSun" w:cs="SimSun" w:hint="eastAsia"/>
                <w:color w:val="000000"/>
              </w:rPr>
              <w:t>与零售店铺管理</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9.3.4</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零售与批发的模式</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讨论案例：法国著名买手店</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第四节 </w:t>
      </w:r>
      <w:r w:rsidRPr="008926D2">
        <w:rPr>
          <w:rFonts w:ascii="SimSun" w:eastAsia="SimSun" w:hAnsi="SimSun" w:cs="SimSun"/>
          <w:color w:val="000000"/>
        </w:rPr>
        <w:t>品牌授权策略</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995"/>
      </w:tblGrid>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9.4</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品牌授权策略</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9.4.1</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完全依赖品牌授权发展的品牌</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9.4.2</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多数品牌对外授权的业务</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9.4.3</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专门从事授权业务的公司</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9.4.4</w:t>
            </w: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品牌授权下发展的过程</w:t>
            </w:r>
          </w:p>
        </w:tc>
      </w:tr>
      <w:tr w:rsidR="008926D2" w:rsidRPr="008926D2" w:rsidTr="00222276">
        <w:trPr>
          <w:trHeight w:val="288"/>
        </w:trPr>
        <w:tc>
          <w:tcPr>
            <w:tcW w:w="662"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995"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讨论案例：周大福品牌授权</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第十章 </w:t>
      </w:r>
      <w:r w:rsidRPr="008926D2">
        <w:rPr>
          <w:rFonts w:ascii="SimSun" w:eastAsia="SimSun" w:hAnsi="SimSun" w:cs="SimSun"/>
          <w:color w:val="000000"/>
        </w:rPr>
        <w:t>奢侈品牌的</w:t>
      </w:r>
      <w:r w:rsidRPr="008926D2">
        <w:rPr>
          <w:rFonts w:ascii="SimSun" w:eastAsia="SimSun" w:hAnsi="SimSun" w:hint="eastAsia"/>
        </w:rPr>
        <w:t>电子商务</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050"/>
      </w:tblGrid>
      <w:tr w:rsidR="008926D2" w:rsidRPr="008926D2" w:rsidTr="00222276">
        <w:trPr>
          <w:trHeight w:val="288"/>
        </w:trPr>
        <w:tc>
          <w:tcPr>
            <w:tcW w:w="607"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10</w:t>
            </w:r>
          </w:p>
        </w:tc>
        <w:tc>
          <w:tcPr>
            <w:tcW w:w="8050"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奢侈品牌的电子商务</w:t>
            </w:r>
          </w:p>
        </w:tc>
      </w:tr>
      <w:tr w:rsidR="008926D2" w:rsidRPr="008926D2" w:rsidTr="00222276">
        <w:trPr>
          <w:trHeight w:val="288"/>
        </w:trPr>
        <w:tc>
          <w:tcPr>
            <w:tcW w:w="607"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10.1</w:t>
            </w:r>
          </w:p>
        </w:tc>
        <w:tc>
          <w:tcPr>
            <w:tcW w:w="8050"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奢侈品电商的不同类型</w:t>
            </w:r>
          </w:p>
        </w:tc>
      </w:tr>
      <w:tr w:rsidR="008926D2" w:rsidRPr="008926D2" w:rsidTr="00222276">
        <w:trPr>
          <w:trHeight w:val="288"/>
        </w:trPr>
        <w:tc>
          <w:tcPr>
            <w:tcW w:w="607"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10.2</w:t>
            </w:r>
          </w:p>
        </w:tc>
        <w:tc>
          <w:tcPr>
            <w:tcW w:w="8050"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奢侈品品牌的</w:t>
            </w:r>
            <w:r w:rsidRPr="008926D2">
              <w:rPr>
                <w:rFonts w:ascii="SimSun" w:eastAsia="SimSun" w:hAnsi="SimSun" w:cs="Calibri"/>
                <w:color w:val="000000"/>
              </w:rPr>
              <w:t>O2O</w:t>
            </w:r>
            <w:r w:rsidRPr="008926D2">
              <w:rPr>
                <w:rFonts w:ascii="SimSun" w:eastAsia="SimSun" w:hAnsi="SimSun" w:cs="SimSun"/>
                <w:color w:val="000000"/>
              </w:rPr>
              <w:t>模式</w:t>
            </w:r>
          </w:p>
        </w:tc>
      </w:tr>
      <w:tr w:rsidR="008926D2" w:rsidRPr="008926D2" w:rsidTr="00222276">
        <w:trPr>
          <w:trHeight w:val="288"/>
        </w:trPr>
        <w:tc>
          <w:tcPr>
            <w:tcW w:w="607"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8050"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hint="eastAsia"/>
                <w:color w:val="000000"/>
              </w:rPr>
              <w:t>讨论案例：奢侈品品牌自有网购平台</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第十一章 </w:t>
      </w:r>
      <w:r w:rsidRPr="008926D2">
        <w:rPr>
          <w:rFonts w:ascii="SimSun" w:eastAsia="SimSun" w:hAnsi="SimSun" w:cs="SimSun"/>
          <w:color w:val="000000"/>
        </w:rPr>
        <w:t>奢侈品</w:t>
      </w:r>
      <w:r w:rsidRPr="008926D2">
        <w:rPr>
          <w:rFonts w:ascii="SimSun" w:eastAsia="SimSun" w:hAnsi="SimSun" w:hint="eastAsia"/>
        </w:rPr>
        <w:t>品牌维护与发展</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7938"/>
      </w:tblGrid>
      <w:tr w:rsidR="008926D2" w:rsidRPr="008926D2" w:rsidTr="00222276">
        <w:trPr>
          <w:trHeight w:val="288"/>
        </w:trPr>
        <w:tc>
          <w:tcPr>
            <w:tcW w:w="719"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奢侈品品牌维护和发展</w:t>
            </w:r>
          </w:p>
        </w:tc>
      </w:tr>
      <w:tr w:rsidR="008926D2" w:rsidRPr="008926D2" w:rsidTr="00222276">
        <w:trPr>
          <w:trHeight w:val="288"/>
        </w:trPr>
        <w:tc>
          <w:tcPr>
            <w:tcW w:w="719"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13.1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奢侈品品牌审计</w:t>
            </w:r>
          </w:p>
        </w:tc>
      </w:tr>
      <w:tr w:rsidR="008926D2" w:rsidRPr="008926D2" w:rsidTr="00222276">
        <w:trPr>
          <w:trHeight w:val="288"/>
        </w:trPr>
        <w:tc>
          <w:tcPr>
            <w:tcW w:w="719"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13.2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奢侈品品牌保护</w:t>
            </w:r>
          </w:p>
        </w:tc>
      </w:tr>
      <w:tr w:rsidR="008926D2" w:rsidRPr="008926D2" w:rsidTr="00222276">
        <w:trPr>
          <w:trHeight w:val="288"/>
        </w:trPr>
        <w:tc>
          <w:tcPr>
            <w:tcW w:w="719"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13.3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奢侈品品牌组合</w:t>
            </w:r>
          </w:p>
        </w:tc>
      </w:tr>
      <w:tr w:rsidR="008926D2" w:rsidRPr="008926D2" w:rsidTr="00222276">
        <w:trPr>
          <w:trHeight w:val="288"/>
        </w:trPr>
        <w:tc>
          <w:tcPr>
            <w:tcW w:w="719"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13.4</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奢侈品品牌延申</w:t>
            </w:r>
          </w:p>
        </w:tc>
      </w:tr>
      <w:tr w:rsidR="008926D2" w:rsidRPr="008926D2" w:rsidTr="00222276">
        <w:trPr>
          <w:trHeight w:val="288"/>
        </w:trPr>
        <w:tc>
          <w:tcPr>
            <w:tcW w:w="719"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13.5</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奢侈品品牌危机管理</w:t>
            </w:r>
          </w:p>
        </w:tc>
      </w:tr>
      <w:tr w:rsidR="008926D2" w:rsidRPr="008926D2" w:rsidTr="00222276">
        <w:trPr>
          <w:trHeight w:val="288"/>
        </w:trPr>
        <w:tc>
          <w:tcPr>
            <w:tcW w:w="719"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品牌故事：巴宝莉（</w:t>
            </w:r>
            <w:r w:rsidRPr="008926D2">
              <w:rPr>
                <w:rFonts w:ascii="SimSun" w:eastAsia="SimSun" w:hAnsi="SimSun" w:cs="Calibri"/>
                <w:color w:val="000000"/>
              </w:rPr>
              <w:t>BURBERRY</w:t>
            </w:r>
            <w:r w:rsidRPr="008926D2">
              <w:rPr>
                <w:rFonts w:ascii="SimSun" w:eastAsia="SimSun" w:hAnsi="SimSun" w:cs="SimSun"/>
                <w:color w:val="000000"/>
              </w:rPr>
              <w:t>）</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w:t>
            </w:r>
            <w:r w:rsidRPr="008926D2">
              <w:rPr>
                <w:rFonts w:ascii="SimSun" w:eastAsia="SimSun" w:hAnsi="SimSun" w:cs="Calibri"/>
                <w:color w:val="000000"/>
              </w:rPr>
              <w:t>LVMH</w:t>
            </w:r>
            <w:r w:rsidRPr="008926D2">
              <w:rPr>
                <w:rFonts w:ascii="SimSun" w:eastAsia="SimSun" w:hAnsi="SimSun" w:cs="Calibri" w:hint="eastAsia"/>
                <w:color w:val="000000"/>
              </w:rPr>
              <w:t>收</w:t>
            </w:r>
            <w:r w:rsidRPr="008926D2">
              <w:rPr>
                <w:rFonts w:ascii="SimSun" w:eastAsia="SimSun" w:hAnsi="SimSun" w:cs="SimSun"/>
                <w:color w:val="000000"/>
              </w:rPr>
              <w:t>购</w:t>
            </w:r>
            <w:r w:rsidRPr="008926D2">
              <w:rPr>
                <w:rFonts w:ascii="SimSun" w:eastAsia="SimSun" w:hAnsi="SimSun" w:cs="Calibri"/>
                <w:color w:val="000000"/>
              </w:rPr>
              <w:t>GUCCI</w:t>
            </w:r>
          </w:p>
        </w:tc>
      </w:tr>
    </w:tbl>
    <w:p w:rsidR="008926D2" w:rsidRPr="008926D2" w:rsidRDefault="008926D2" w:rsidP="008926D2">
      <w:pPr>
        <w:rPr>
          <w:rFonts w:ascii="SimSun" w:eastAsia="SimSun" w:hAnsi="SimSun"/>
          <w:b/>
        </w:rPr>
      </w:pPr>
    </w:p>
    <w:p w:rsidR="008926D2" w:rsidRPr="008926D2" w:rsidRDefault="008926D2" w:rsidP="008926D2">
      <w:pPr>
        <w:rPr>
          <w:rFonts w:ascii="SimSun" w:eastAsia="SimSun" w:hAnsi="SimSun"/>
          <w:b/>
        </w:rPr>
      </w:pPr>
    </w:p>
    <w:p w:rsidR="008926D2" w:rsidRPr="008926D2" w:rsidRDefault="008926D2" w:rsidP="008926D2">
      <w:pPr>
        <w:rPr>
          <w:rFonts w:ascii="SimSun" w:eastAsia="SimSun" w:hAnsi="SimSun"/>
          <w:b/>
        </w:rPr>
      </w:pPr>
      <w:r w:rsidRPr="008926D2">
        <w:rPr>
          <w:rFonts w:ascii="SimSun" w:eastAsia="SimSun" w:hAnsi="SimSun" w:hint="eastAsia"/>
          <w:b/>
        </w:rPr>
        <w:t>第四篇：奢侈品品牌管理在中国的应用</w:t>
      </w:r>
    </w:p>
    <w:p w:rsidR="008926D2" w:rsidRPr="008926D2" w:rsidRDefault="008926D2" w:rsidP="008926D2">
      <w:pPr>
        <w:rPr>
          <w:rFonts w:ascii="SimSun" w:eastAsia="SimSun" w:hAnsi="SimSun"/>
        </w:rPr>
      </w:pPr>
      <w:r w:rsidRPr="008926D2">
        <w:rPr>
          <w:rFonts w:ascii="SimSun" w:eastAsia="SimSun" w:hAnsi="SimSun" w:hint="eastAsia"/>
        </w:rPr>
        <w:t>第十二章 奢侈品品牌如何实现全球化并打开中国市场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7938"/>
      </w:tblGrid>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14</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奢侈品品牌全球化、标准化与本土化</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14.1</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奢侈品品牌全球化</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14.2</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奢侈品品牌标准化</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14.3</w:t>
            </w: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奢侈品品牌全球化、标准化与本土化解析</w:t>
            </w:r>
          </w:p>
        </w:tc>
      </w:tr>
      <w:tr w:rsidR="008926D2" w:rsidRPr="008926D2" w:rsidTr="00222276">
        <w:trPr>
          <w:trHeight w:val="288"/>
        </w:trPr>
        <w:tc>
          <w:tcPr>
            <w:tcW w:w="718"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938" w:type="dxa"/>
            <w:shd w:val="clear" w:color="auto" w:fill="auto"/>
            <w:noWrap/>
            <w:vAlign w:val="bottom"/>
            <w:hideMark/>
          </w:tcPr>
          <w:p w:rsidR="008926D2" w:rsidRPr="008926D2" w:rsidRDefault="008926D2" w:rsidP="00222276">
            <w:pPr>
              <w:spacing w:after="0" w:line="240" w:lineRule="auto"/>
              <w:rPr>
                <w:rFonts w:ascii="SimSun" w:eastAsia="SimSun" w:hAnsi="SimSun" w:cs="Calibri"/>
                <w:b/>
                <w:color w:val="000000"/>
              </w:rPr>
            </w:pPr>
            <w:r w:rsidRPr="008926D2">
              <w:rPr>
                <w:rFonts w:ascii="SimSun" w:eastAsia="SimSun" w:hAnsi="SimSun" w:cs="SimSun"/>
                <w:color w:val="000000"/>
              </w:rPr>
              <w:t>品牌故事：历峰（</w:t>
            </w:r>
            <w:r w:rsidRPr="008926D2">
              <w:rPr>
                <w:rFonts w:ascii="SimSun" w:eastAsia="SimSun" w:hAnsi="SimSun" w:cs="Calibri"/>
                <w:color w:val="000000"/>
              </w:rPr>
              <w:t>RICHEMONT</w:t>
            </w:r>
            <w:r w:rsidRPr="008926D2">
              <w:rPr>
                <w:rFonts w:ascii="SimSun" w:eastAsia="SimSun" w:hAnsi="SimSun" w:cs="SimSun"/>
                <w:color w:val="000000"/>
              </w:rPr>
              <w:t>）的商业帝国</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第十三章 奢侈品牌在中国的发展</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中国奢侈品市场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882"/>
      </w:tblGrid>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15.1</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中国奢侈品市场</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15.1.1</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奢侈品中国消费市场概述</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15.1.2</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奢侈品中国消费人群及特征</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15.1.3</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奢侈品中国消费市场分布</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15.1.4</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奢侈品中国消费发展趋势</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15.1.5</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中国奢侈品市场环境</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中国奢侈品市场的宏观环境</w:t>
            </w:r>
          </w:p>
        </w:tc>
      </w:tr>
      <w:tr w:rsidR="008926D2" w:rsidRPr="008926D2" w:rsidTr="00222276">
        <w:trPr>
          <w:trHeight w:val="300"/>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中国奢侈品市场的法律环境</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第二节 </w:t>
      </w:r>
      <w:r w:rsidRPr="008926D2">
        <w:rPr>
          <w:rFonts w:ascii="SimSun" w:eastAsia="SimSun" w:hAnsi="SimSun" w:cs="SimSun"/>
          <w:color w:val="000000"/>
        </w:rPr>
        <w:t>奢侈品牌中国市场</w:t>
      </w:r>
      <w:r w:rsidRPr="008926D2">
        <w:rPr>
          <w:rFonts w:ascii="SimSun" w:eastAsia="SimSun" w:hAnsi="SimSun" w:cs="SimSun" w:hint="eastAsia"/>
          <w:color w:val="000000"/>
        </w:rPr>
        <w:t>战略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7796"/>
      </w:tblGrid>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lastRenderedPageBreak/>
              <w:t>15.2</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奢侈品牌中国市场立体观</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15.2.1</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传统奢侈品企业在华战略</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15.2.2</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奢侈品品牌在中国</w:t>
            </w:r>
            <w:r w:rsidRPr="008926D2">
              <w:rPr>
                <w:rFonts w:ascii="SimSun" w:eastAsia="SimSun" w:hAnsi="SimSun" w:cs="SimSun" w:hint="eastAsia"/>
                <w:color w:val="000000"/>
              </w:rPr>
              <w:t>的</w:t>
            </w:r>
            <w:r w:rsidRPr="008926D2">
              <w:rPr>
                <w:rFonts w:ascii="SimSun" w:eastAsia="SimSun" w:hAnsi="SimSun" w:cs="SimSun"/>
                <w:color w:val="000000"/>
              </w:rPr>
              <w:t>传播</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15.2.3</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全球奢侈品品牌中国挑战</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w:t>
            </w:r>
            <w:r w:rsidRPr="008926D2">
              <w:rPr>
                <w:rFonts w:ascii="SimSun" w:eastAsia="SimSun" w:hAnsi="SimSun" w:cs="SimSun" w:hint="eastAsia"/>
                <w:color w:val="000000"/>
              </w:rPr>
              <w:t>：</w:t>
            </w:r>
            <w:r w:rsidRPr="008926D2">
              <w:rPr>
                <w:rFonts w:ascii="SimSun" w:eastAsia="SimSun" w:hAnsi="SimSun" w:cs="SimSun"/>
                <w:color w:val="000000"/>
              </w:rPr>
              <w:t>奔驰（</w:t>
            </w:r>
            <w:r w:rsidRPr="008926D2">
              <w:rPr>
                <w:rFonts w:ascii="SimSun" w:eastAsia="SimSun" w:hAnsi="SimSun" w:cs="Calibri"/>
                <w:color w:val="000000"/>
              </w:rPr>
              <w:t>BENZ</w:t>
            </w:r>
            <w:r w:rsidRPr="008926D2">
              <w:rPr>
                <w:rFonts w:ascii="SimSun" w:eastAsia="SimSun" w:hAnsi="SimSun" w:cs="SimSun"/>
                <w:color w:val="000000"/>
              </w:rPr>
              <w:t>）与宝马（</w:t>
            </w:r>
            <w:r w:rsidRPr="008926D2">
              <w:rPr>
                <w:rFonts w:ascii="SimSun" w:eastAsia="SimSun" w:hAnsi="SimSun" w:cs="Calibri"/>
                <w:color w:val="000000"/>
              </w:rPr>
              <w:t>BMW</w:t>
            </w:r>
            <w:r w:rsidRPr="008926D2">
              <w:rPr>
                <w:rFonts w:ascii="SimSun" w:eastAsia="SimSun" w:hAnsi="SimSun" w:cs="SimSun"/>
                <w:color w:val="000000"/>
              </w:rPr>
              <w:t>）的</w:t>
            </w:r>
            <w:r w:rsidRPr="008926D2">
              <w:rPr>
                <w:rFonts w:ascii="SimSun" w:eastAsia="SimSun" w:hAnsi="SimSun" w:cs="SimSun" w:hint="eastAsia"/>
                <w:color w:val="000000"/>
              </w:rPr>
              <w:t>中国</w:t>
            </w:r>
            <w:r w:rsidRPr="008926D2">
              <w:rPr>
                <w:rFonts w:ascii="SimSun" w:eastAsia="SimSun" w:hAnsi="SimSun" w:cs="SimSun"/>
                <w:color w:val="000000"/>
              </w:rPr>
              <w:t>博弈</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第十四章 中国本土品牌升级及发展自有高端和奢侈品牌</w:t>
      </w:r>
    </w:p>
    <w:p w:rsidR="008926D2" w:rsidRPr="008926D2" w:rsidRDefault="008926D2" w:rsidP="008926D2">
      <w:pPr>
        <w:rPr>
          <w:rFonts w:ascii="SimSun" w:eastAsia="SimSun" w:hAnsi="SimSun"/>
        </w:rPr>
      </w:pPr>
      <w:r w:rsidRPr="008926D2">
        <w:rPr>
          <w:rFonts w:ascii="SimSun" w:eastAsia="SimSun" w:hAnsi="SimSun" w:hint="eastAsia"/>
        </w:rPr>
        <w:t xml:space="preserve">第一节 </w:t>
      </w:r>
      <w:r w:rsidRPr="008926D2">
        <w:rPr>
          <w:rFonts w:ascii="SimSun" w:eastAsia="SimSun" w:hAnsi="SimSun" w:cs="SimSun"/>
          <w:color w:val="000000"/>
        </w:rPr>
        <w:t>中国本土</w:t>
      </w:r>
      <w:r w:rsidRPr="008926D2">
        <w:rPr>
          <w:rFonts w:ascii="SimSun" w:eastAsia="SimSun" w:hAnsi="SimSun" w:cs="SimSun" w:hint="eastAsia"/>
          <w:color w:val="000000"/>
        </w:rPr>
        <w:t>奢侈品</w:t>
      </w:r>
      <w:r w:rsidRPr="008926D2">
        <w:rPr>
          <w:rFonts w:ascii="SimSun" w:eastAsia="SimSun" w:hAnsi="SimSun" w:cs="SimSun"/>
          <w:color w:val="000000"/>
        </w:rPr>
        <w:t>品牌发展借鉴</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7796"/>
      </w:tblGrid>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16.1</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中国本土品牌发展借鉴</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16.1.1</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本土品牌与品牌全球化</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16.1.2</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本土品牌发展战略路径</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16.1.3</w:t>
            </w: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发展本土的奢侈品品牌</w:t>
            </w:r>
          </w:p>
        </w:tc>
      </w:tr>
      <w:tr w:rsidR="008926D2" w:rsidRPr="008926D2" w:rsidTr="00222276">
        <w:trPr>
          <w:trHeight w:val="288"/>
        </w:trPr>
        <w:tc>
          <w:tcPr>
            <w:tcW w:w="860"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p>
        </w:tc>
        <w:tc>
          <w:tcPr>
            <w:tcW w:w="7796"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品牌故事：中国茅台</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讨论案例：</w:t>
            </w:r>
            <w:r w:rsidRPr="008926D2">
              <w:rPr>
                <w:rFonts w:ascii="SimSun" w:eastAsia="SimSun" w:hAnsi="SimSun" w:cs="Calibri"/>
                <w:color w:val="000000"/>
              </w:rPr>
              <w:t>“</w:t>
            </w:r>
            <w:r w:rsidRPr="008926D2">
              <w:rPr>
                <w:rFonts w:ascii="SimSun" w:eastAsia="SimSun" w:hAnsi="SimSun" w:cs="SimSun"/>
                <w:color w:val="000000"/>
              </w:rPr>
              <w:t>上海滩</w:t>
            </w:r>
            <w:r w:rsidRPr="008926D2">
              <w:rPr>
                <w:rFonts w:ascii="SimSun" w:eastAsia="SimSun" w:hAnsi="SimSun" w:cs="Calibri"/>
                <w:color w:val="000000"/>
              </w:rPr>
              <w:t>”</w:t>
            </w:r>
            <w:r w:rsidRPr="008926D2">
              <w:rPr>
                <w:rFonts w:ascii="SimSun" w:eastAsia="SimSun" w:hAnsi="SimSun" w:cs="SimSun"/>
                <w:color w:val="000000"/>
              </w:rPr>
              <w:t>（</w:t>
            </w:r>
            <w:r w:rsidRPr="008926D2">
              <w:rPr>
                <w:rFonts w:ascii="SimSun" w:eastAsia="SimSun" w:hAnsi="SimSun" w:cs="Calibri"/>
                <w:color w:val="000000"/>
              </w:rPr>
              <w:t>Shanghai Tang</w:t>
            </w:r>
            <w:r w:rsidRPr="008926D2">
              <w:rPr>
                <w:rFonts w:ascii="SimSun" w:eastAsia="SimSun" w:hAnsi="SimSun" w:cs="SimSun"/>
                <w:color w:val="000000"/>
              </w:rPr>
              <w:t>）打造源自中国的奢侈品牌</w:t>
            </w:r>
          </w:p>
        </w:tc>
      </w:tr>
    </w:tbl>
    <w:p w:rsidR="008926D2" w:rsidRPr="008926D2" w:rsidRDefault="008926D2" w:rsidP="008926D2">
      <w:pPr>
        <w:rPr>
          <w:rFonts w:ascii="SimSun" w:eastAsia="SimSun" w:hAnsi="SimSun"/>
        </w:rPr>
      </w:pPr>
    </w:p>
    <w:p w:rsidR="008926D2" w:rsidRPr="008926D2" w:rsidRDefault="008926D2" w:rsidP="008926D2">
      <w:pPr>
        <w:rPr>
          <w:rFonts w:ascii="SimSun" w:eastAsia="SimSun" w:hAnsi="SimSun"/>
        </w:rPr>
      </w:pPr>
      <w:r w:rsidRPr="008926D2">
        <w:rPr>
          <w:rFonts w:ascii="SimSun" w:eastAsia="SimSun" w:hAnsi="SimSun" w:hint="eastAsia"/>
        </w:rPr>
        <w:t xml:space="preserve">第二节 </w:t>
      </w:r>
      <w:r w:rsidRPr="008926D2">
        <w:rPr>
          <w:rFonts w:ascii="SimSun" w:eastAsia="SimSun" w:hAnsi="SimSun" w:cs="SimSun"/>
          <w:color w:val="000000"/>
        </w:rPr>
        <w:t>中国本土企业的高端化成长路径</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882"/>
      </w:tblGrid>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16.2</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hint="eastAsia"/>
                <w:color w:val="000000"/>
              </w:rPr>
              <w:t>中国</w:t>
            </w:r>
            <w:r w:rsidRPr="008926D2">
              <w:rPr>
                <w:rFonts w:ascii="SimSun" w:eastAsia="SimSun" w:hAnsi="SimSun" w:cs="SimSun"/>
                <w:color w:val="000000"/>
              </w:rPr>
              <w:t>本土企业的高端化成长路径</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16.2.1</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传统中国特色奢侈产品细分</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16.2.2</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中国企业成长路径之外力借助</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jc w:val="right"/>
              <w:rPr>
                <w:rFonts w:ascii="SimSun" w:eastAsia="SimSun" w:hAnsi="SimSun" w:cs="Calibri"/>
                <w:color w:val="000000"/>
              </w:rPr>
            </w:pPr>
            <w:r w:rsidRPr="008926D2">
              <w:rPr>
                <w:rFonts w:ascii="SimSun" w:eastAsia="SimSun" w:hAnsi="SimSun" w:cs="Calibri"/>
                <w:color w:val="000000"/>
              </w:rPr>
              <w:t>16.2.3</w:t>
            </w: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中国企业成长路径之自主创业</w:t>
            </w:r>
          </w:p>
        </w:tc>
      </w:tr>
      <w:tr w:rsidR="008926D2" w:rsidRPr="008926D2" w:rsidTr="00222276">
        <w:trPr>
          <w:trHeight w:val="288"/>
        </w:trPr>
        <w:tc>
          <w:tcPr>
            <w:tcW w:w="774" w:type="dxa"/>
            <w:shd w:val="clear" w:color="auto" w:fill="auto"/>
            <w:noWrap/>
            <w:vAlign w:val="bottom"/>
            <w:hideMark/>
          </w:tcPr>
          <w:p w:rsidR="008926D2" w:rsidRPr="008926D2" w:rsidRDefault="008926D2" w:rsidP="00222276">
            <w:pPr>
              <w:spacing w:after="0" w:line="240" w:lineRule="auto"/>
              <w:ind w:right="220"/>
              <w:jc w:val="right"/>
              <w:rPr>
                <w:rFonts w:ascii="SimSun" w:eastAsia="SimSun" w:hAnsi="SimSun" w:cs="Calibri"/>
                <w:color w:val="000000"/>
              </w:rPr>
            </w:pPr>
          </w:p>
        </w:tc>
        <w:tc>
          <w:tcPr>
            <w:tcW w:w="7882" w:type="dxa"/>
            <w:shd w:val="clear" w:color="auto" w:fill="auto"/>
            <w:noWrap/>
            <w:vAlign w:val="bottom"/>
            <w:hideMark/>
          </w:tcPr>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讨论案例：</w:t>
            </w:r>
          </w:p>
          <w:p w:rsidR="008926D2" w:rsidRPr="008926D2" w:rsidRDefault="008926D2" w:rsidP="00222276">
            <w:pPr>
              <w:spacing w:after="0" w:line="240" w:lineRule="auto"/>
              <w:rPr>
                <w:rFonts w:ascii="SimSun" w:eastAsia="SimSun" w:hAnsi="SimSun" w:cs="SimSun"/>
                <w:color w:val="000000"/>
              </w:rPr>
            </w:pPr>
            <w:r w:rsidRPr="008926D2">
              <w:rPr>
                <w:rFonts w:ascii="SimSun" w:eastAsia="SimSun" w:hAnsi="SimSun" w:cs="SimSun"/>
                <w:color w:val="000000"/>
              </w:rPr>
              <w:t>（1）吉利（</w:t>
            </w:r>
            <w:r w:rsidRPr="008926D2">
              <w:rPr>
                <w:rFonts w:ascii="SimSun" w:eastAsia="SimSun" w:hAnsi="SimSun" w:cs="Calibri"/>
                <w:color w:val="000000"/>
              </w:rPr>
              <w:t>GEELY</w:t>
            </w:r>
            <w:r w:rsidRPr="008926D2">
              <w:rPr>
                <w:rFonts w:ascii="SimSun" w:eastAsia="SimSun" w:hAnsi="SimSun" w:cs="SimSun"/>
                <w:color w:val="000000"/>
              </w:rPr>
              <w:t>）与沃尔沃（</w:t>
            </w:r>
            <w:r w:rsidRPr="008926D2">
              <w:rPr>
                <w:rFonts w:ascii="SimSun" w:eastAsia="SimSun" w:hAnsi="SimSun" w:cs="Calibri"/>
                <w:color w:val="000000"/>
              </w:rPr>
              <w:t>VOLVO</w:t>
            </w:r>
            <w:r w:rsidRPr="008926D2">
              <w:rPr>
                <w:rFonts w:ascii="SimSun" w:eastAsia="SimSun" w:hAnsi="SimSun" w:cs="SimSun"/>
                <w:color w:val="000000"/>
              </w:rPr>
              <w:t>）</w:t>
            </w:r>
          </w:p>
          <w:p w:rsidR="008926D2" w:rsidRPr="008926D2" w:rsidRDefault="008926D2" w:rsidP="00222276">
            <w:pPr>
              <w:spacing w:after="0" w:line="240" w:lineRule="auto"/>
              <w:rPr>
                <w:rFonts w:ascii="SimSun" w:eastAsia="SimSun" w:hAnsi="SimSun" w:cs="Calibri"/>
                <w:color w:val="000000"/>
              </w:rPr>
            </w:pPr>
            <w:r w:rsidRPr="008926D2">
              <w:rPr>
                <w:rFonts w:ascii="SimSun" w:eastAsia="SimSun" w:hAnsi="SimSun" w:cs="SimSun"/>
                <w:color w:val="000000"/>
              </w:rPr>
              <w:t>（2）</w:t>
            </w:r>
            <w:r w:rsidRPr="008926D2">
              <w:rPr>
                <w:rFonts w:ascii="SimSun" w:eastAsia="SimSun" w:hAnsi="SimSun" w:cs="SimSun" w:hint="eastAsia"/>
                <w:color w:val="000000"/>
              </w:rPr>
              <w:t>上下与爱马仕</w:t>
            </w:r>
          </w:p>
        </w:tc>
      </w:tr>
    </w:tbl>
    <w:p w:rsidR="008926D2" w:rsidRPr="008926D2" w:rsidRDefault="008926D2" w:rsidP="008926D2">
      <w:pPr>
        <w:snapToGrid w:val="0"/>
        <w:spacing w:line="288" w:lineRule="auto"/>
        <w:rPr>
          <w:rFonts w:ascii="宋体" w:eastAsia="SimSun" w:hAnsi="宋体"/>
          <w:sz w:val="20"/>
          <w:szCs w:val="20"/>
        </w:rPr>
      </w:pPr>
    </w:p>
    <w:p w:rsidR="00324C49" w:rsidRPr="008926D2" w:rsidRDefault="00324C49">
      <w:pPr>
        <w:snapToGrid w:val="0"/>
        <w:spacing w:line="288" w:lineRule="auto"/>
        <w:ind w:right="26"/>
        <w:rPr>
          <w:sz w:val="20"/>
          <w:szCs w:val="20"/>
          <w:lang w:val="en-GB"/>
        </w:rPr>
      </w:pPr>
    </w:p>
    <w:p w:rsidR="00324C49" w:rsidRPr="008926D2" w:rsidRDefault="006428CD" w:rsidP="00EC2591">
      <w:pPr>
        <w:widowControl/>
        <w:spacing w:beforeLines="50" w:afterLines="50" w:line="288" w:lineRule="auto"/>
        <w:ind w:firstLineChars="150" w:firstLine="360"/>
        <w:jc w:val="left"/>
        <w:rPr>
          <w:rFonts w:ascii="SimHei" w:eastAsia="SimHei" w:hAnsi="宋体" w:hint="eastAsia"/>
          <w:sz w:val="24"/>
        </w:rPr>
      </w:pPr>
      <w:r w:rsidRPr="008926D2">
        <w:rPr>
          <w:rFonts w:ascii="SimHei" w:eastAsia="SimHei" w:hAnsi="宋体" w:hint="eastAsia"/>
          <w:sz w:val="24"/>
        </w:rPr>
        <w:t>七、课内实验名称及基本要求（选填，适用于课内实验）</w:t>
      </w:r>
    </w:p>
    <w:p w:rsidR="00324C49" w:rsidRPr="008926D2" w:rsidRDefault="006428CD">
      <w:pPr>
        <w:snapToGrid w:val="0"/>
        <w:spacing w:line="288" w:lineRule="auto"/>
        <w:ind w:right="26" w:firstLineChars="200" w:firstLine="400"/>
        <w:rPr>
          <w:sz w:val="20"/>
          <w:szCs w:val="20"/>
        </w:rPr>
      </w:pPr>
      <w:r w:rsidRPr="008926D2">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324C49" w:rsidRPr="008926D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jc w:val="center"/>
              <w:rPr>
                <w:rFonts w:ascii="宋体"/>
                <w:sz w:val="20"/>
                <w:szCs w:val="20"/>
              </w:rPr>
            </w:pPr>
            <w:r w:rsidRPr="008926D2">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jc w:val="center"/>
              <w:rPr>
                <w:rFonts w:ascii="宋体"/>
                <w:sz w:val="20"/>
                <w:szCs w:val="20"/>
              </w:rPr>
            </w:pPr>
            <w:r w:rsidRPr="008926D2">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jc w:val="center"/>
              <w:rPr>
                <w:rFonts w:ascii="宋体"/>
                <w:sz w:val="20"/>
                <w:szCs w:val="20"/>
              </w:rPr>
            </w:pPr>
            <w:r w:rsidRPr="008926D2">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jc w:val="center"/>
              <w:rPr>
                <w:rFonts w:ascii="宋体" w:hAnsi="宋体"/>
                <w:sz w:val="20"/>
                <w:szCs w:val="20"/>
              </w:rPr>
            </w:pPr>
            <w:r w:rsidRPr="008926D2">
              <w:rPr>
                <w:rFonts w:ascii="宋体" w:hAnsi="宋体" w:hint="eastAsia"/>
                <w:sz w:val="20"/>
                <w:szCs w:val="20"/>
              </w:rPr>
              <w:t>实验</w:t>
            </w:r>
          </w:p>
          <w:p w:rsidR="00324C49" w:rsidRPr="008926D2" w:rsidRDefault="006428CD">
            <w:pPr>
              <w:snapToGrid w:val="0"/>
              <w:jc w:val="center"/>
              <w:rPr>
                <w:rFonts w:ascii="宋体"/>
                <w:sz w:val="20"/>
                <w:szCs w:val="20"/>
              </w:rPr>
            </w:pPr>
            <w:r w:rsidRPr="008926D2">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324C49" w:rsidRPr="008926D2" w:rsidRDefault="006428CD">
            <w:pPr>
              <w:snapToGrid w:val="0"/>
              <w:jc w:val="center"/>
              <w:rPr>
                <w:rFonts w:ascii="宋体"/>
                <w:sz w:val="20"/>
                <w:szCs w:val="20"/>
              </w:rPr>
            </w:pPr>
            <w:r w:rsidRPr="008926D2">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324C49" w:rsidRPr="008926D2" w:rsidRDefault="006428CD">
            <w:pPr>
              <w:snapToGrid w:val="0"/>
              <w:jc w:val="center"/>
              <w:rPr>
                <w:rFonts w:ascii="宋体"/>
                <w:sz w:val="20"/>
                <w:szCs w:val="20"/>
              </w:rPr>
            </w:pPr>
            <w:r w:rsidRPr="008926D2">
              <w:rPr>
                <w:rFonts w:ascii="宋体" w:hAnsi="宋体" w:hint="eastAsia"/>
                <w:sz w:val="20"/>
                <w:szCs w:val="20"/>
              </w:rPr>
              <w:t>备注</w:t>
            </w:r>
          </w:p>
        </w:tc>
      </w:tr>
      <w:tr w:rsidR="00324C49" w:rsidRPr="008926D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r>
      <w:tr w:rsidR="00324C49" w:rsidRPr="008926D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r>
      <w:tr w:rsidR="00324C49" w:rsidRPr="008926D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r>
      <w:tr w:rsidR="00324C49" w:rsidRPr="008926D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r>
      <w:tr w:rsidR="00324C49" w:rsidRPr="008926D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jc w:val="center"/>
              <w:rPr>
                <w:rFonts w:ascii="宋体"/>
                <w:sz w:val="16"/>
                <w:szCs w:val="16"/>
              </w:rPr>
            </w:pPr>
          </w:p>
        </w:tc>
      </w:tr>
    </w:tbl>
    <w:p w:rsidR="00324C49" w:rsidRPr="008926D2" w:rsidRDefault="006428CD" w:rsidP="00EC2591">
      <w:pPr>
        <w:widowControl/>
        <w:spacing w:beforeLines="50" w:afterLines="50" w:line="288" w:lineRule="auto"/>
        <w:ind w:firstLineChars="150" w:firstLine="360"/>
        <w:jc w:val="left"/>
        <w:rPr>
          <w:rFonts w:ascii="SimHei" w:eastAsia="SimHei" w:hAnsi="宋体" w:hint="eastAsia"/>
          <w:sz w:val="24"/>
        </w:rPr>
      </w:pPr>
      <w:r w:rsidRPr="008926D2">
        <w:rPr>
          <w:rFonts w:ascii="SimHei" w:eastAsia="SimHei" w:hAnsi="宋体" w:hint="eastAsia"/>
          <w:sz w:val="24"/>
        </w:rPr>
        <w:lastRenderedPageBreak/>
        <w:t>七、实践环节各阶段名称及基本要求（选填，适用于集中实践、实习、毕业设计等）</w:t>
      </w:r>
    </w:p>
    <w:p w:rsidR="00324C49" w:rsidRPr="008926D2" w:rsidRDefault="006428CD">
      <w:pPr>
        <w:snapToGrid w:val="0"/>
        <w:spacing w:line="288" w:lineRule="auto"/>
        <w:ind w:right="26" w:firstLineChars="200" w:firstLine="400"/>
        <w:rPr>
          <w:rFonts w:ascii="宋体" w:hAnsi="宋体"/>
          <w:sz w:val="20"/>
          <w:szCs w:val="20"/>
        </w:rPr>
      </w:pPr>
      <w:r w:rsidRPr="008926D2">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324C49" w:rsidRPr="008926D2">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rPr>
                <w:rFonts w:ascii="宋体"/>
                <w:sz w:val="20"/>
                <w:szCs w:val="20"/>
              </w:rPr>
            </w:pPr>
            <w:r w:rsidRPr="008926D2">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ind w:firstLineChars="150" w:firstLine="300"/>
              <w:rPr>
                <w:rFonts w:ascii="宋体"/>
                <w:sz w:val="20"/>
                <w:szCs w:val="20"/>
              </w:rPr>
            </w:pPr>
            <w:r w:rsidRPr="008926D2">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ind w:firstLineChars="450" w:firstLine="900"/>
              <w:rPr>
                <w:rFonts w:ascii="宋体"/>
                <w:sz w:val="20"/>
                <w:szCs w:val="20"/>
              </w:rPr>
            </w:pPr>
            <w:r w:rsidRPr="008926D2">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6428CD">
            <w:pPr>
              <w:snapToGrid w:val="0"/>
              <w:rPr>
                <w:rFonts w:ascii="宋体"/>
                <w:sz w:val="20"/>
                <w:szCs w:val="20"/>
              </w:rPr>
            </w:pPr>
            <w:r w:rsidRPr="008926D2">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324C49" w:rsidRPr="008926D2" w:rsidRDefault="006428CD">
            <w:pPr>
              <w:snapToGrid w:val="0"/>
              <w:rPr>
                <w:rFonts w:ascii="宋体"/>
                <w:sz w:val="20"/>
                <w:szCs w:val="20"/>
              </w:rPr>
            </w:pPr>
            <w:r w:rsidRPr="008926D2">
              <w:rPr>
                <w:rFonts w:ascii="宋体" w:hAnsi="宋体" w:hint="eastAsia"/>
                <w:sz w:val="20"/>
                <w:szCs w:val="20"/>
              </w:rPr>
              <w:t>备注</w:t>
            </w:r>
          </w:p>
        </w:tc>
      </w:tr>
      <w:tr w:rsidR="00324C49" w:rsidRPr="008926D2">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r>
      <w:tr w:rsidR="00324C49" w:rsidRPr="008926D2">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r>
      <w:tr w:rsidR="00324C49" w:rsidRPr="008926D2">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r>
      <w:tr w:rsidR="00324C49" w:rsidRPr="008926D2">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r>
      <w:tr w:rsidR="00324C49" w:rsidRPr="008926D2">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24C49" w:rsidRPr="008926D2" w:rsidRDefault="00324C49" w:rsidP="00EC2591">
            <w:pPr>
              <w:snapToGrid w:val="0"/>
              <w:spacing w:beforeLines="50" w:afterLines="50" w:line="288" w:lineRule="auto"/>
              <w:rPr>
                <w:rFonts w:ascii="宋体"/>
                <w:sz w:val="16"/>
                <w:szCs w:val="16"/>
              </w:rPr>
            </w:pPr>
          </w:p>
        </w:tc>
      </w:tr>
    </w:tbl>
    <w:p w:rsidR="00324C49" w:rsidRPr="008926D2" w:rsidRDefault="00324C49">
      <w:pPr>
        <w:snapToGrid w:val="0"/>
        <w:spacing w:line="288" w:lineRule="auto"/>
        <w:ind w:right="2520"/>
        <w:rPr>
          <w:rFonts w:ascii="SimHei" w:eastAsia="SimHei" w:hAnsi="宋体" w:hint="eastAsia"/>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24C49" w:rsidRPr="008926D2">
        <w:tc>
          <w:tcPr>
            <w:tcW w:w="1809" w:type="dxa"/>
            <w:shd w:val="clear" w:color="auto" w:fill="auto"/>
          </w:tcPr>
          <w:p w:rsidR="00324C49" w:rsidRPr="008926D2" w:rsidRDefault="006428CD" w:rsidP="00EC2591">
            <w:pPr>
              <w:snapToGrid w:val="0"/>
              <w:spacing w:beforeLines="50" w:afterLines="50"/>
              <w:rPr>
                <w:rFonts w:ascii="宋体" w:hAnsi="宋体"/>
                <w:bCs/>
                <w:color w:val="000000"/>
                <w:szCs w:val="20"/>
              </w:rPr>
            </w:pPr>
            <w:r w:rsidRPr="008926D2">
              <w:rPr>
                <w:rFonts w:ascii="宋体" w:hAnsi="宋体" w:hint="eastAsia"/>
                <w:bCs/>
                <w:color w:val="000000"/>
                <w:szCs w:val="20"/>
              </w:rPr>
              <w:t>总评构成（1+</w:t>
            </w:r>
            <w:r w:rsidRPr="008926D2">
              <w:rPr>
                <w:rFonts w:ascii="宋体" w:hAnsi="宋体"/>
                <w:bCs/>
                <w:color w:val="000000"/>
                <w:szCs w:val="20"/>
              </w:rPr>
              <w:t>X</w:t>
            </w:r>
            <w:r w:rsidRPr="008926D2">
              <w:rPr>
                <w:rFonts w:ascii="宋体" w:hAnsi="宋体" w:hint="eastAsia"/>
                <w:bCs/>
                <w:color w:val="000000"/>
                <w:szCs w:val="20"/>
              </w:rPr>
              <w:t>）</w:t>
            </w:r>
          </w:p>
        </w:tc>
        <w:tc>
          <w:tcPr>
            <w:tcW w:w="5103" w:type="dxa"/>
            <w:shd w:val="clear" w:color="auto" w:fill="auto"/>
          </w:tcPr>
          <w:p w:rsidR="00324C49" w:rsidRPr="008926D2" w:rsidRDefault="006428CD" w:rsidP="00EC2591">
            <w:pPr>
              <w:snapToGrid w:val="0"/>
              <w:spacing w:beforeLines="50" w:afterLines="50"/>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rsidR="00324C49" w:rsidRPr="008926D2" w:rsidRDefault="006428CD" w:rsidP="00EC2591">
            <w:pPr>
              <w:snapToGrid w:val="0"/>
              <w:spacing w:beforeLines="50" w:afterLines="50"/>
              <w:jc w:val="center"/>
              <w:rPr>
                <w:rFonts w:ascii="宋体" w:hAnsi="宋体"/>
                <w:bCs/>
                <w:color w:val="000000"/>
                <w:szCs w:val="20"/>
              </w:rPr>
            </w:pPr>
            <w:r w:rsidRPr="008926D2">
              <w:rPr>
                <w:rFonts w:ascii="宋体" w:hAnsi="宋体" w:hint="eastAsia"/>
                <w:bCs/>
                <w:color w:val="000000"/>
                <w:szCs w:val="20"/>
              </w:rPr>
              <w:t>占比</w:t>
            </w:r>
          </w:p>
        </w:tc>
      </w:tr>
      <w:tr w:rsidR="00324C49" w:rsidRPr="008926D2">
        <w:tc>
          <w:tcPr>
            <w:tcW w:w="1809" w:type="dxa"/>
            <w:shd w:val="clear" w:color="auto" w:fill="auto"/>
          </w:tcPr>
          <w:p w:rsidR="00324C49" w:rsidRPr="008926D2" w:rsidRDefault="006428CD" w:rsidP="00EC2591">
            <w:pPr>
              <w:snapToGrid w:val="0"/>
              <w:spacing w:beforeLines="50" w:afterLines="50"/>
              <w:jc w:val="center"/>
              <w:rPr>
                <w:rFonts w:ascii="宋体" w:hAnsi="宋体"/>
                <w:bCs/>
                <w:color w:val="000000"/>
                <w:szCs w:val="20"/>
              </w:rPr>
            </w:pPr>
            <w:r w:rsidRPr="008926D2">
              <w:rPr>
                <w:rFonts w:ascii="宋体" w:hAnsi="宋体" w:hint="eastAsia"/>
                <w:bCs/>
                <w:color w:val="000000"/>
                <w:szCs w:val="20"/>
              </w:rPr>
              <w:t>1</w:t>
            </w:r>
          </w:p>
        </w:tc>
        <w:tc>
          <w:tcPr>
            <w:tcW w:w="5103" w:type="dxa"/>
            <w:shd w:val="clear" w:color="auto" w:fill="auto"/>
          </w:tcPr>
          <w:p w:rsidR="00324C49" w:rsidRPr="008926D2" w:rsidRDefault="00324C49" w:rsidP="00EC2591">
            <w:pPr>
              <w:snapToGrid w:val="0"/>
              <w:spacing w:beforeLines="50" w:afterLines="50"/>
              <w:jc w:val="center"/>
              <w:rPr>
                <w:rFonts w:ascii="宋体" w:hAnsi="宋体"/>
                <w:bCs/>
                <w:color w:val="000000"/>
                <w:szCs w:val="20"/>
              </w:rPr>
            </w:pPr>
          </w:p>
        </w:tc>
        <w:tc>
          <w:tcPr>
            <w:tcW w:w="1843" w:type="dxa"/>
            <w:shd w:val="clear" w:color="auto" w:fill="auto"/>
          </w:tcPr>
          <w:p w:rsidR="00324C49" w:rsidRPr="008926D2" w:rsidRDefault="00324C49" w:rsidP="00EC2591">
            <w:pPr>
              <w:snapToGrid w:val="0"/>
              <w:spacing w:beforeLines="50" w:afterLines="50"/>
              <w:jc w:val="center"/>
              <w:rPr>
                <w:rFonts w:ascii="宋体" w:hAnsi="宋体"/>
                <w:bCs/>
                <w:color w:val="000000"/>
                <w:szCs w:val="20"/>
              </w:rPr>
            </w:pPr>
          </w:p>
        </w:tc>
      </w:tr>
      <w:tr w:rsidR="00324C49" w:rsidRPr="008926D2">
        <w:tc>
          <w:tcPr>
            <w:tcW w:w="1809" w:type="dxa"/>
            <w:shd w:val="clear" w:color="auto" w:fill="auto"/>
          </w:tcPr>
          <w:p w:rsidR="00324C49" w:rsidRPr="008926D2" w:rsidRDefault="006428CD" w:rsidP="00EC2591">
            <w:pPr>
              <w:snapToGrid w:val="0"/>
              <w:spacing w:beforeLines="50" w:afterLines="50"/>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rsidR="00324C49" w:rsidRPr="008926D2" w:rsidRDefault="00A1773E" w:rsidP="00AB3870">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市场行业分析</w:t>
            </w:r>
          </w:p>
        </w:tc>
        <w:tc>
          <w:tcPr>
            <w:tcW w:w="1843" w:type="dxa"/>
            <w:shd w:val="clear" w:color="auto" w:fill="auto"/>
          </w:tcPr>
          <w:p w:rsidR="00324C49" w:rsidRPr="008926D2" w:rsidRDefault="00AB3870" w:rsidP="00EC2591">
            <w:pPr>
              <w:snapToGrid w:val="0"/>
              <w:spacing w:beforeLines="50" w:afterLines="50"/>
              <w:jc w:val="center"/>
              <w:rPr>
                <w:rFonts w:ascii="宋体" w:hAnsi="宋体"/>
                <w:bCs/>
                <w:color w:val="000000"/>
                <w:szCs w:val="20"/>
              </w:rPr>
            </w:pPr>
            <w:r w:rsidRPr="008926D2">
              <w:rPr>
                <w:rFonts w:ascii="宋体" w:hAnsi="宋体"/>
                <w:bCs/>
                <w:color w:val="000000"/>
                <w:szCs w:val="20"/>
              </w:rPr>
              <w:t>30%</w:t>
            </w:r>
          </w:p>
        </w:tc>
      </w:tr>
      <w:tr w:rsidR="00324C49" w:rsidRPr="008926D2">
        <w:tc>
          <w:tcPr>
            <w:tcW w:w="1809" w:type="dxa"/>
            <w:shd w:val="clear" w:color="auto" w:fill="auto"/>
          </w:tcPr>
          <w:p w:rsidR="00324C49" w:rsidRPr="008926D2" w:rsidRDefault="006428CD" w:rsidP="00EC2591">
            <w:pPr>
              <w:snapToGrid w:val="0"/>
              <w:spacing w:beforeLines="50" w:afterLines="50"/>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rsidR="00324C49" w:rsidRPr="008926D2" w:rsidRDefault="00AB3870" w:rsidP="00AB3870">
            <w:pPr>
              <w:spacing w:after="0" w:line="240" w:lineRule="auto"/>
              <w:jc w:val="center"/>
              <w:rPr>
                <w:rFonts w:ascii="KaiTi_GB2312" w:eastAsia="KaiTi_GB2312" w:hAnsi="KaiTi_GB2312"/>
                <w:sz w:val="24"/>
              </w:rPr>
            </w:pPr>
            <w:r w:rsidRPr="008926D2">
              <w:rPr>
                <w:rFonts w:ascii="KaiTi_GB2312" w:eastAsia="KaiTi_GB2312" w:hAnsi="KaiTi_GB2312" w:hint="eastAsia"/>
                <w:sz w:val="24"/>
              </w:rPr>
              <w:t>品牌研究报告</w:t>
            </w:r>
          </w:p>
        </w:tc>
        <w:tc>
          <w:tcPr>
            <w:tcW w:w="1843" w:type="dxa"/>
            <w:shd w:val="clear" w:color="auto" w:fill="auto"/>
          </w:tcPr>
          <w:p w:rsidR="00324C49" w:rsidRPr="008926D2" w:rsidRDefault="00AB3870" w:rsidP="00EC2591">
            <w:pPr>
              <w:snapToGrid w:val="0"/>
              <w:spacing w:beforeLines="50" w:afterLines="50"/>
              <w:jc w:val="center"/>
              <w:rPr>
                <w:rFonts w:ascii="宋体" w:hAnsi="宋体"/>
                <w:bCs/>
                <w:color w:val="000000"/>
                <w:szCs w:val="20"/>
              </w:rPr>
            </w:pPr>
            <w:r w:rsidRPr="008926D2">
              <w:rPr>
                <w:rFonts w:ascii="宋体" w:hAnsi="宋体"/>
                <w:bCs/>
                <w:color w:val="000000"/>
                <w:szCs w:val="20"/>
              </w:rPr>
              <w:t>30%</w:t>
            </w:r>
          </w:p>
        </w:tc>
      </w:tr>
      <w:tr w:rsidR="00324C49" w:rsidRPr="008926D2">
        <w:tc>
          <w:tcPr>
            <w:tcW w:w="1809" w:type="dxa"/>
            <w:shd w:val="clear" w:color="auto" w:fill="auto"/>
          </w:tcPr>
          <w:p w:rsidR="00324C49" w:rsidRPr="008926D2" w:rsidRDefault="006428CD" w:rsidP="00EC2591">
            <w:pPr>
              <w:snapToGrid w:val="0"/>
              <w:spacing w:beforeLines="50" w:afterLines="50"/>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rsidR="00324C49" w:rsidRPr="008926D2" w:rsidRDefault="00AB3870" w:rsidP="00EC2591">
            <w:pPr>
              <w:snapToGrid w:val="0"/>
              <w:spacing w:beforeLines="50" w:afterLines="50"/>
              <w:jc w:val="center"/>
              <w:rPr>
                <w:rFonts w:ascii="宋体" w:hAnsi="宋体"/>
                <w:bCs/>
                <w:color w:val="000000"/>
                <w:szCs w:val="20"/>
              </w:rPr>
            </w:pPr>
            <w:r w:rsidRPr="008926D2">
              <w:rPr>
                <w:rFonts w:ascii="KaiTi_GB2312" w:eastAsia="KaiTi_GB2312" w:hAnsi="KaiTi_GB2312" w:hint="eastAsia"/>
                <w:sz w:val="24"/>
              </w:rPr>
              <w:t>课堂展示PPT</w:t>
            </w:r>
          </w:p>
        </w:tc>
        <w:tc>
          <w:tcPr>
            <w:tcW w:w="1843" w:type="dxa"/>
            <w:shd w:val="clear" w:color="auto" w:fill="auto"/>
          </w:tcPr>
          <w:p w:rsidR="00324C49" w:rsidRPr="008926D2" w:rsidRDefault="00AB3870" w:rsidP="00EC2591">
            <w:pPr>
              <w:snapToGrid w:val="0"/>
              <w:spacing w:beforeLines="50" w:afterLines="50"/>
              <w:jc w:val="center"/>
              <w:rPr>
                <w:rFonts w:ascii="宋体" w:hAnsi="宋体"/>
                <w:bCs/>
                <w:color w:val="000000"/>
                <w:szCs w:val="20"/>
              </w:rPr>
            </w:pPr>
            <w:r w:rsidRPr="008926D2">
              <w:rPr>
                <w:rFonts w:ascii="宋体" w:hAnsi="宋体"/>
                <w:bCs/>
                <w:color w:val="000000"/>
                <w:szCs w:val="20"/>
              </w:rPr>
              <w:t>40%</w:t>
            </w:r>
          </w:p>
        </w:tc>
      </w:tr>
      <w:tr w:rsidR="00324C49" w:rsidRPr="008926D2">
        <w:tc>
          <w:tcPr>
            <w:tcW w:w="1809" w:type="dxa"/>
            <w:shd w:val="clear" w:color="auto" w:fill="auto"/>
          </w:tcPr>
          <w:p w:rsidR="00324C49" w:rsidRPr="008926D2" w:rsidRDefault="006428CD" w:rsidP="00EC2591">
            <w:pPr>
              <w:snapToGrid w:val="0"/>
              <w:spacing w:beforeLines="50" w:afterLines="50"/>
              <w:jc w:val="center"/>
              <w:rPr>
                <w:rFonts w:ascii="宋体" w:hAnsi="宋体"/>
                <w:bCs/>
                <w:color w:val="000000"/>
                <w:szCs w:val="20"/>
              </w:rPr>
            </w:pPr>
            <w:r w:rsidRPr="008926D2">
              <w:rPr>
                <w:rFonts w:ascii="宋体" w:hAnsi="宋体" w:hint="eastAsia"/>
                <w:bCs/>
                <w:color w:val="000000"/>
                <w:szCs w:val="20"/>
              </w:rPr>
              <w:t>X4</w:t>
            </w:r>
          </w:p>
        </w:tc>
        <w:tc>
          <w:tcPr>
            <w:tcW w:w="5103" w:type="dxa"/>
            <w:shd w:val="clear" w:color="auto" w:fill="auto"/>
          </w:tcPr>
          <w:p w:rsidR="00324C49" w:rsidRPr="008926D2" w:rsidRDefault="00324C49" w:rsidP="00EC2591">
            <w:pPr>
              <w:snapToGrid w:val="0"/>
              <w:spacing w:beforeLines="50" w:afterLines="50"/>
              <w:jc w:val="center"/>
              <w:rPr>
                <w:rFonts w:ascii="宋体" w:hAnsi="宋体"/>
                <w:bCs/>
                <w:color w:val="000000"/>
                <w:szCs w:val="20"/>
              </w:rPr>
            </w:pPr>
          </w:p>
        </w:tc>
        <w:tc>
          <w:tcPr>
            <w:tcW w:w="1843" w:type="dxa"/>
            <w:shd w:val="clear" w:color="auto" w:fill="auto"/>
          </w:tcPr>
          <w:p w:rsidR="00324C49" w:rsidRPr="008926D2" w:rsidRDefault="00324C49" w:rsidP="00EC2591">
            <w:pPr>
              <w:snapToGrid w:val="0"/>
              <w:spacing w:beforeLines="50" w:afterLines="50"/>
              <w:jc w:val="center"/>
              <w:rPr>
                <w:rFonts w:ascii="宋体" w:hAnsi="宋体"/>
                <w:bCs/>
                <w:color w:val="000000"/>
                <w:szCs w:val="20"/>
              </w:rPr>
            </w:pPr>
          </w:p>
        </w:tc>
      </w:tr>
    </w:tbl>
    <w:p w:rsidR="00324C49" w:rsidRPr="008926D2" w:rsidRDefault="006428CD">
      <w:pPr>
        <w:snapToGrid w:val="0"/>
        <w:spacing w:line="288" w:lineRule="auto"/>
        <w:ind w:right="2520" w:firstLineChars="200" w:firstLine="480"/>
        <w:rPr>
          <w:sz w:val="20"/>
          <w:szCs w:val="20"/>
        </w:rPr>
      </w:pPr>
      <w:r w:rsidRPr="008926D2">
        <w:rPr>
          <w:rFonts w:ascii="SimHei" w:eastAsia="SimHei" w:hAnsi="宋体" w:hint="eastAsia"/>
          <w:sz w:val="24"/>
        </w:rPr>
        <w:t>八、评价方式与成绩</w:t>
      </w:r>
      <w:r w:rsidRPr="008926D2">
        <w:rPr>
          <w:rFonts w:ascii="SimHei" w:eastAsia="SimHei" w:hAnsi="宋体"/>
          <w:sz w:val="24"/>
        </w:rPr>
        <w:t>（必填项）</w:t>
      </w:r>
    </w:p>
    <w:p w:rsidR="00324C49" w:rsidRPr="008926D2" w:rsidRDefault="00324C49" w:rsidP="00EC2591">
      <w:pPr>
        <w:widowControl/>
        <w:spacing w:beforeLines="50" w:afterLines="50" w:line="288" w:lineRule="auto"/>
        <w:jc w:val="left"/>
        <w:rPr>
          <w:rFonts w:ascii="SimHei" w:eastAsia="SimHei" w:hAnsi="宋体" w:hint="eastAsia"/>
          <w:sz w:val="24"/>
        </w:rPr>
      </w:pPr>
    </w:p>
    <w:p w:rsidR="00324C49" w:rsidRPr="008926D2" w:rsidRDefault="006428CD" w:rsidP="00EC2591">
      <w:pPr>
        <w:snapToGrid w:val="0"/>
        <w:spacing w:beforeLines="50" w:line="288" w:lineRule="auto"/>
        <w:ind w:firstLineChars="200" w:firstLine="400"/>
        <w:rPr>
          <w:rFonts w:ascii="宋体" w:hAnsi="宋体"/>
          <w:sz w:val="20"/>
          <w:szCs w:val="20"/>
        </w:rPr>
      </w:pPr>
      <w:r w:rsidRPr="008926D2">
        <w:rPr>
          <w:rFonts w:ascii="宋体" w:hAnsi="宋体" w:hint="eastAsia"/>
          <w:sz w:val="20"/>
          <w:szCs w:val="20"/>
        </w:rPr>
        <w:t>“</w:t>
      </w:r>
      <w:r w:rsidRPr="008926D2">
        <w:rPr>
          <w:rFonts w:ascii="宋体" w:hAnsi="宋体"/>
          <w:sz w:val="20"/>
          <w:szCs w:val="20"/>
        </w:rPr>
        <w:t>1</w:t>
      </w:r>
      <w:r w:rsidRPr="008926D2">
        <w:rPr>
          <w:rFonts w:ascii="宋体" w:hAnsi="宋体" w:hint="eastAsia"/>
          <w:sz w:val="20"/>
          <w:szCs w:val="20"/>
        </w:rPr>
        <w:t>”一般为总结性评价, “</w:t>
      </w:r>
      <w:r w:rsidRPr="008926D2">
        <w:rPr>
          <w:rFonts w:ascii="宋体" w:hAnsi="宋体"/>
          <w:sz w:val="20"/>
          <w:szCs w:val="20"/>
        </w:rPr>
        <w:t>X</w:t>
      </w:r>
      <w:r w:rsidRPr="008926D2">
        <w:rPr>
          <w:rFonts w:ascii="宋体" w:hAnsi="宋体" w:hint="eastAsia"/>
          <w:sz w:val="20"/>
          <w:szCs w:val="20"/>
        </w:rPr>
        <w:t>”为过程性评价，“</w:t>
      </w:r>
      <w:r w:rsidRPr="008926D2">
        <w:rPr>
          <w:rFonts w:ascii="宋体" w:hAnsi="宋体"/>
          <w:sz w:val="20"/>
          <w:szCs w:val="20"/>
        </w:rPr>
        <w:t>X</w:t>
      </w:r>
      <w:r w:rsidRPr="008926D2">
        <w:rPr>
          <w:rFonts w:ascii="宋体" w:hAnsi="宋体" w:hint="eastAsia"/>
          <w:sz w:val="20"/>
          <w:szCs w:val="20"/>
        </w:rPr>
        <w:t>”的</w:t>
      </w:r>
      <w:r w:rsidRPr="008926D2">
        <w:rPr>
          <w:rFonts w:hint="eastAsia"/>
          <w:color w:val="000000"/>
          <w:sz w:val="20"/>
          <w:szCs w:val="20"/>
        </w:rPr>
        <w:t>次数一般不少于</w:t>
      </w:r>
      <w:r w:rsidRPr="008926D2">
        <w:rPr>
          <w:rFonts w:hint="eastAsia"/>
          <w:color w:val="000000"/>
          <w:sz w:val="20"/>
          <w:szCs w:val="20"/>
        </w:rPr>
        <w:t>3</w:t>
      </w:r>
      <w:r w:rsidRPr="008926D2">
        <w:rPr>
          <w:rFonts w:hint="eastAsia"/>
          <w:color w:val="000000"/>
          <w:sz w:val="20"/>
          <w:szCs w:val="20"/>
        </w:rPr>
        <w:t>次，无论是</w:t>
      </w:r>
      <w:r w:rsidRPr="008926D2">
        <w:rPr>
          <w:rFonts w:ascii="宋体" w:hAnsi="宋体" w:hint="eastAsia"/>
          <w:sz w:val="20"/>
          <w:szCs w:val="20"/>
        </w:rPr>
        <w:t>“</w:t>
      </w:r>
      <w:r w:rsidRPr="008926D2">
        <w:rPr>
          <w:rFonts w:ascii="宋体" w:hAnsi="宋体"/>
          <w:sz w:val="20"/>
          <w:szCs w:val="20"/>
        </w:rPr>
        <w:t>1</w:t>
      </w:r>
      <w:r w:rsidRPr="008926D2">
        <w:rPr>
          <w:rFonts w:ascii="宋体" w:hAnsi="宋体" w:hint="eastAsia"/>
          <w:sz w:val="20"/>
          <w:szCs w:val="20"/>
        </w:rPr>
        <w:t>”、还是“</w:t>
      </w:r>
      <w:r w:rsidRPr="008926D2">
        <w:rPr>
          <w:rFonts w:ascii="宋体" w:hAnsi="宋体"/>
          <w:sz w:val="20"/>
          <w:szCs w:val="20"/>
        </w:rPr>
        <w:t>X</w:t>
      </w:r>
      <w:r w:rsidRPr="008926D2">
        <w:rPr>
          <w:rFonts w:ascii="宋体" w:hAnsi="宋体" w:hint="eastAsia"/>
          <w:sz w:val="20"/>
          <w:szCs w:val="20"/>
        </w:rPr>
        <w:t>”，都可以是纸笔测试，也可以是表现性评价。与能力本位相适应的课程评价方式，较少采用纸笔测试，较多采用表现性评价。</w:t>
      </w:r>
    </w:p>
    <w:p w:rsidR="00324C49" w:rsidRPr="008926D2" w:rsidRDefault="006428CD">
      <w:pPr>
        <w:snapToGrid w:val="0"/>
        <w:spacing w:before="120" w:after="120" w:line="288" w:lineRule="auto"/>
        <w:ind w:firstLineChars="200" w:firstLine="400"/>
        <w:rPr>
          <w:b/>
          <w:color w:val="000000"/>
          <w:sz w:val="20"/>
          <w:szCs w:val="20"/>
        </w:rPr>
      </w:pPr>
      <w:r w:rsidRPr="008926D2">
        <w:rPr>
          <w:rFonts w:hint="eastAsia"/>
          <w:color w:val="000000"/>
          <w:sz w:val="20"/>
          <w:szCs w:val="20"/>
        </w:rPr>
        <w:t>常用</w:t>
      </w:r>
      <w:r w:rsidRPr="008926D2">
        <w:rPr>
          <w:color w:val="000000"/>
          <w:sz w:val="20"/>
          <w:szCs w:val="20"/>
        </w:rPr>
        <w:t>的</w:t>
      </w:r>
      <w:r w:rsidRPr="008926D2">
        <w:rPr>
          <w:rFonts w:hint="eastAsia"/>
          <w:color w:val="000000"/>
          <w:sz w:val="20"/>
          <w:szCs w:val="20"/>
        </w:rPr>
        <w:t>评价</w:t>
      </w:r>
      <w:r w:rsidRPr="008926D2">
        <w:rPr>
          <w:color w:val="000000"/>
          <w:sz w:val="20"/>
          <w:szCs w:val="20"/>
        </w:rPr>
        <w:t>方式</w:t>
      </w:r>
      <w:r w:rsidRPr="008926D2">
        <w:rPr>
          <w:rFonts w:hint="eastAsia"/>
          <w:color w:val="000000"/>
          <w:sz w:val="20"/>
          <w:szCs w:val="20"/>
        </w:rPr>
        <w:t>有</w:t>
      </w:r>
      <w:r w:rsidRPr="008926D2">
        <w:rPr>
          <w:color w:val="000000"/>
          <w:sz w:val="20"/>
          <w:szCs w:val="20"/>
        </w:rPr>
        <w:t>：</w:t>
      </w:r>
      <w:r w:rsidRPr="008926D2">
        <w:rPr>
          <w:rFonts w:ascii="宋体" w:hAnsi="宋体" w:hint="eastAsia"/>
          <w:sz w:val="20"/>
          <w:szCs w:val="20"/>
        </w:rPr>
        <w:t>课堂展示、口头</w:t>
      </w:r>
      <w:r w:rsidRPr="008926D2">
        <w:rPr>
          <w:rFonts w:ascii="宋体" w:hAnsi="宋体"/>
          <w:sz w:val="20"/>
          <w:szCs w:val="20"/>
        </w:rPr>
        <w:t>报告、</w:t>
      </w:r>
      <w:r w:rsidRPr="008926D2">
        <w:rPr>
          <w:rFonts w:ascii="宋体" w:hAnsi="宋体" w:hint="eastAsia"/>
          <w:sz w:val="20"/>
          <w:szCs w:val="20"/>
        </w:rPr>
        <w:t>论文、日志、反思</w:t>
      </w:r>
      <w:r w:rsidRPr="008926D2">
        <w:rPr>
          <w:rFonts w:ascii="宋体" w:hAnsi="宋体"/>
          <w:sz w:val="20"/>
          <w:szCs w:val="20"/>
        </w:rPr>
        <w:t>、</w:t>
      </w:r>
      <w:r w:rsidRPr="008926D2">
        <w:rPr>
          <w:rFonts w:ascii="宋体" w:hAnsi="宋体" w:hint="eastAsia"/>
          <w:sz w:val="20"/>
          <w:szCs w:val="20"/>
        </w:rPr>
        <w:t>调查报告、个人项目报告、小组</w:t>
      </w:r>
      <w:r w:rsidRPr="008926D2">
        <w:rPr>
          <w:rFonts w:ascii="宋体" w:hAnsi="宋体"/>
          <w:sz w:val="20"/>
          <w:szCs w:val="20"/>
        </w:rPr>
        <w:t>项目报告、</w:t>
      </w:r>
      <w:r w:rsidRPr="008926D2">
        <w:rPr>
          <w:rFonts w:ascii="宋体" w:hAnsi="宋体" w:hint="eastAsia"/>
          <w:sz w:val="20"/>
          <w:szCs w:val="20"/>
        </w:rPr>
        <w:t>实验报告、读书报告、作品（选集</w:t>
      </w:r>
      <w:r w:rsidRPr="008926D2">
        <w:rPr>
          <w:rFonts w:ascii="宋体" w:hAnsi="宋体"/>
          <w:sz w:val="20"/>
          <w:szCs w:val="20"/>
        </w:rPr>
        <w:t>）</w:t>
      </w:r>
      <w:r w:rsidRPr="008926D2">
        <w:rPr>
          <w:rFonts w:ascii="宋体" w:hAnsi="宋体" w:hint="eastAsia"/>
          <w:sz w:val="20"/>
          <w:szCs w:val="20"/>
        </w:rPr>
        <w:t>、口试、课堂小测验、</w:t>
      </w:r>
      <w:r w:rsidRPr="008926D2">
        <w:rPr>
          <w:rFonts w:ascii="宋体" w:hAnsi="宋体"/>
          <w:sz w:val="20"/>
          <w:szCs w:val="20"/>
        </w:rPr>
        <w:t>期终闭卷考、期终开卷考、</w:t>
      </w:r>
      <w:r w:rsidRPr="008926D2">
        <w:rPr>
          <w:rFonts w:ascii="宋体" w:hAnsi="宋体" w:hint="eastAsia"/>
          <w:sz w:val="20"/>
          <w:szCs w:val="20"/>
        </w:rPr>
        <w:t>工作</w:t>
      </w:r>
      <w:r w:rsidRPr="008926D2">
        <w:rPr>
          <w:rFonts w:ascii="宋体" w:hAnsi="宋体"/>
          <w:sz w:val="20"/>
          <w:szCs w:val="20"/>
        </w:rPr>
        <w:t>现场评估、</w:t>
      </w:r>
      <w:r w:rsidRPr="008926D2">
        <w:rPr>
          <w:rFonts w:ascii="宋体" w:hAnsi="宋体" w:hint="eastAsia"/>
          <w:sz w:val="20"/>
          <w:szCs w:val="20"/>
        </w:rPr>
        <w:t>自我</w:t>
      </w:r>
      <w:r w:rsidRPr="008926D2">
        <w:rPr>
          <w:rFonts w:ascii="宋体" w:hAnsi="宋体"/>
          <w:sz w:val="20"/>
          <w:szCs w:val="20"/>
        </w:rPr>
        <w:t>评估、</w:t>
      </w:r>
      <w:r w:rsidRPr="008926D2">
        <w:rPr>
          <w:rFonts w:ascii="宋体" w:hAnsi="宋体" w:hint="eastAsia"/>
          <w:sz w:val="20"/>
          <w:szCs w:val="20"/>
        </w:rPr>
        <w:t>同辈</w:t>
      </w:r>
      <w:r w:rsidRPr="008926D2">
        <w:rPr>
          <w:rFonts w:ascii="宋体" w:hAnsi="宋体"/>
          <w:sz w:val="20"/>
          <w:szCs w:val="20"/>
        </w:rPr>
        <w:t>评估</w:t>
      </w:r>
      <w:r w:rsidRPr="008926D2">
        <w:rPr>
          <w:rFonts w:ascii="宋体" w:hAnsi="宋体" w:hint="eastAsia"/>
          <w:sz w:val="20"/>
          <w:szCs w:val="20"/>
        </w:rPr>
        <w:t>等等</w:t>
      </w:r>
      <w:r w:rsidRPr="008926D2">
        <w:rPr>
          <w:rFonts w:ascii="宋体" w:hAnsi="宋体"/>
          <w:sz w:val="20"/>
          <w:szCs w:val="20"/>
        </w:rPr>
        <w:t>。</w:t>
      </w:r>
      <w:r w:rsidRPr="008926D2">
        <w:rPr>
          <w:rFonts w:ascii="宋体" w:hAnsi="宋体" w:hint="eastAsia"/>
          <w:b/>
          <w:sz w:val="20"/>
          <w:szCs w:val="20"/>
        </w:rPr>
        <w:t>一般课外扩展阅读的检查评价应该成为“X”中的一部分。</w:t>
      </w:r>
    </w:p>
    <w:p w:rsidR="00324C49" w:rsidRPr="008926D2" w:rsidRDefault="006428CD">
      <w:pPr>
        <w:snapToGrid w:val="0"/>
        <w:spacing w:before="120" w:after="120" w:line="288" w:lineRule="auto"/>
        <w:ind w:firstLineChars="200" w:firstLine="400"/>
        <w:rPr>
          <w:rFonts w:ascii="宋体" w:hAnsi="宋体"/>
          <w:sz w:val="20"/>
          <w:szCs w:val="20"/>
        </w:rPr>
      </w:pPr>
      <w:r w:rsidRPr="008926D2">
        <w:rPr>
          <w:rFonts w:ascii="宋体" w:hAnsi="宋体" w:hint="eastAsia"/>
          <w:sz w:val="20"/>
          <w:szCs w:val="20"/>
        </w:rPr>
        <w:t>同一门课程由多个教师共同授课的，由课程组共同讨论决定X的内容、次数及比例。</w:t>
      </w:r>
    </w:p>
    <w:p w:rsidR="00324C49" w:rsidRPr="008926D2" w:rsidRDefault="00324C49" w:rsidP="002A265C">
      <w:pPr>
        <w:snapToGrid w:val="0"/>
        <w:spacing w:before="120" w:after="120" w:line="288" w:lineRule="auto"/>
        <w:rPr>
          <w:rFonts w:ascii="宋体" w:hAnsi="宋体"/>
          <w:sz w:val="20"/>
          <w:szCs w:val="20"/>
        </w:rPr>
      </w:pPr>
    </w:p>
    <w:p w:rsidR="00324C49" w:rsidRPr="008926D2" w:rsidRDefault="006428CD">
      <w:pPr>
        <w:snapToGrid w:val="0"/>
        <w:spacing w:line="288" w:lineRule="auto"/>
        <w:ind w:firstLineChars="300" w:firstLine="840"/>
        <w:rPr>
          <w:sz w:val="28"/>
          <w:szCs w:val="28"/>
        </w:rPr>
      </w:pPr>
      <w:r w:rsidRPr="008926D2">
        <w:rPr>
          <w:rFonts w:hint="eastAsia"/>
          <w:sz w:val="28"/>
          <w:szCs w:val="28"/>
        </w:rPr>
        <w:t>撰写人：</w:t>
      </w:r>
      <w:r w:rsidR="00AB3870" w:rsidRPr="008926D2">
        <w:rPr>
          <w:rFonts w:hint="eastAsia"/>
          <w:sz w:val="28"/>
          <w:szCs w:val="28"/>
        </w:rPr>
        <w:t>吴璠</w:t>
      </w:r>
      <w:r w:rsidR="00AB3870" w:rsidRPr="008926D2">
        <w:rPr>
          <w:rFonts w:hint="eastAsia"/>
          <w:sz w:val="28"/>
          <w:szCs w:val="28"/>
        </w:rPr>
        <w:t xml:space="preserve">                  </w:t>
      </w:r>
      <w:r w:rsidRPr="008926D2">
        <w:rPr>
          <w:rFonts w:hint="eastAsia"/>
          <w:sz w:val="28"/>
          <w:szCs w:val="28"/>
        </w:rPr>
        <w:t>系主任审核签名：</w:t>
      </w:r>
    </w:p>
    <w:p w:rsidR="00324C49" w:rsidRDefault="006428CD" w:rsidP="00AB3870">
      <w:pPr>
        <w:snapToGrid w:val="0"/>
        <w:spacing w:line="288" w:lineRule="auto"/>
        <w:ind w:firstLineChars="300" w:firstLine="840"/>
      </w:pPr>
      <w:r w:rsidRPr="008926D2">
        <w:rPr>
          <w:rFonts w:hint="eastAsia"/>
          <w:sz w:val="28"/>
          <w:szCs w:val="28"/>
        </w:rPr>
        <w:t>审核时间：</w:t>
      </w:r>
      <w:r w:rsidRPr="008926D2">
        <w:rPr>
          <w:rFonts w:hint="eastAsia"/>
          <w:sz w:val="28"/>
          <w:szCs w:val="28"/>
        </w:rPr>
        <w:t xml:space="preserve"> </w:t>
      </w:r>
      <w:r w:rsidR="00AB3870" w:rsidRPr="008926D2">
        <w:rPr>
          <w:rFonts w:hint="eastAsia"/>
          <w:sz w:val="28"/>
          <w:szCs w:val="28"/>
        </w:rPr>
        <w:t>2019</w:t>
      </w:r>
      <w:r w:rsidR="00AB3870" w:rsidRPr="008926D2">
        <w:rPr>
          <w:rFonts w:hint="eastAsia"/>
          <w:sz w:val="28"/>
          <w:szCs w:val="28"/>
        </w:rPr>
        <w:t>年</w:t>
      </w:r>
      <w:r w:rsidR="00AB3870" w:rsidRPr="008926D2">
        <w:rPr>
          <w:rFonts w:hint="eastAsia"/>
          <w:sz w:val="28"/>
          <w:szCs w:val="28"/>
        </w:rPr>
        <w:t>9</w:t>
      </w:r>
      <w:r w:rsidR="00AB3870" w:rsidRPr="008926D2">
        <w:rPr>
          <w:rFonts w:hint="eastAsia"/>
          <w:sz w:val="28"/>
          <w:szCs w:val="28"/>
        </w:rPr>
        <w:t>月</w:t>
      </w:r>
      <w:r w:rsidR="00AB3870" w:rsidRPr="008926D2">
        <w:rPr>
          <w:rFonts w:hint="eastAsia"/>
          <w:sz w:val="28"/>
          <w:szCs w:val="28"/>
        </w:rPr>
        <w:t>2</w:t>
      </w:r>
      <w:r w:rsidR="00AB3870" w:rsidRPr="008926D2">
        <w:rPr>
          <w:rFonts w:hint="eastAsia"/>
          <w:sz w:val="28"/>
          <w:szCs w:val="28"/>
        </w:rPr>
        <w:t>日</w:t>
      </w:r>
      <w:r>
        <w:rPr>
          <w:rFonts w:hint="eastAsia"/>
          <w:sz w:val="28"/>
          <w:szCs w:val="28"/>
        </w:rPr>
        <w:t xml:space="preserve"> </w:t>
      </w:r>
    </w:p>
    <w:sectPr w:rsidR="00324C49" w:rsidSect="00324C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B6" w:rsidRDefault="008077B6" w:rsidP="00A23364">
      <w:pPr>
        <w:spacing w:after="0" w:line="240" w:lineRule="auto"/>
      </w:pPr>
      <w:r>
        <w:separator/>
      </w:r>
    </w:p>
  </w:endnote>
  <w:endnote w:type="continuationSeparator" w:id="0">
    <w:p w:rsidR="008077B6" w:rsidRDefault="008077B6" w:rsidP="00A23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Times New Roman"/>
    <w:charset w:val="00"/>
    <w:family w:val="roman"/>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4860"/>
      <w:docPartObj>
        <w:docPartGallery w:val="Page Numbers (Bottom of Page)"/>
        <w:docPartUnique/>
      </w:docPartObj>
    </w:sdtPr>
    <w:sdtContent>
      <w:p w:rsidR="002A265C" w:rsidRDefault="00EC2591">
        <w:pPr>
          <w:pStyle w:val="Footer"/>
          <w:jc w:val="right"/>
        </w:pPr>
        <w:r>
          <w:fldChar w:fldCharType="begin"/>
        </w:r>
        <w:r w:rsidR="008077B6">
          <w:instrText xml:space="preserve"> PAGE   \* MERGEFORMAT </w:instrText>
        </w:r>
        <w:r>
          <w:fldChar w:fldCharType="separate"/>
        </w:r>
        <w:r w:rsidR="00D57163">
          <w:rPr>
            <w:noProof/>
          </w:rPr>
          <w:t>15</w:t>
        </w:r>
        <w:r>
          <w:rPr>
            <w:noProof/>
          </w:rPr>
          <w:fldChar w:fldCharType="end"/>
        </w:r>
      </w:p>
    </w:sdtContent>
  </w:sdt>
  <w:p w:rsidR="002A265C" w:rsidRDefault="002A2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B6" w:rsidRDefault="008077B6" w:rsidP="00A23364">
      <w:pPr>
        <w:spacing w:after="0" w:line="240" w:lineRule="auto"/>
      </w:pPr>
      <w:r>
        <w:separator/>
      </w:r>
    </w:p>
  </w:footnote>
  <w:footnote w:type="continuationSeparator" w:id="0">
    <w:p w:rsidR="008077B6" w:rsidRDefault="008077B6" w:rsidP="00A23364">
      <w:pPr>
        <w:spacing w:after="0" w:line="240" w:lineRule="auto"/>
      </w:pPr>
      <w:r>
        <w:continuationSeparator/>
      </w:r>
    </w:p>
  </w:footnote>
  <w:footnote w:id="1">
    <w:p w:rsidR="00A23364" w:rsidRPr="00FA75A8" w:rsidRDefault="00A23364" w:rsidP="002A265C">
      <w:pPr>
        <w:spacing w:after="0"/>
      </w:pPr>
      <w:r>
        <w:rPr>
          <w:rStyle w:val="FootnoteReference"/>
        </w:rPr>
        <w:footnoteRef/>
      </w:r>
      <w:r w:rsidRPr="00FA75A8">
        <w:rPr>
          <w:rFonts w:ascii="宋体" w:hAnsi="宋体" w:cs="宋体" w:hint="eastAsia"/>
          <w:color w:val="000000"/>
          <w:sz w:val="20"/>
          <w:szCs w:val="20"/>
        </w:rPr>
        <w:t>赵忠秀等编著，</w:t>
      </w:r>
      <w:r w:rsidRPr="00FA75A8">
        <w:rPr>
          <w:rFonts w:cs="Calibri"/>
          <w:color w:val="000000"/>
          <w:sz w:val="20"/>
          <w:szCs w:val="20"/>
        </w:rPr>
        <w:t>2009</w:t>
      </w:r>
      <w:r w:rsidRPr="00FA75A8">
        <w:rPr>
          <w:rFonts w:cs="Calibri"/>
          <w:color w:val="000000"/>
          <w:sz w:val="20"/>
          <w:szCs w:val="20"/>
        </w:rPr>
        <w:t>，奢侈品品牌管理概</w:t>
      </w:r>
      <w:r w:rsidRPr="00FA75A8">
        <w:rPr>
          <w:rFonts w:ascii="宋体" w:hAnsi="宋体" w:cs="宋体" w:hint="eastAsia"/>
          <w:color w:val="000000"/>
          <w:sz w:val="20"/>
          <w:szCs w:val="20"/>
        </w:rPr>
        <w:t>论，</w:t>
      </w:r>
      <w:r w:rsidRPr="00FA75A8">
        <w:rPr>
          <w:rFonts w:cs="Calibri"/>
          <w:color w:val="000000"/>
          <w:sz w:val="20"/>
          <w:szCs w:val="20"/>
        </w:rPr>
        <w:t>对外经济贸易大学出版</w:t>
      </w:r>
      <w:r w:rsidRPr="00FA75A8">
        <w:rPr>
          <w:rFonts w:ascii="宋体" w:hAnsi="宋体" w:cs="宋体" w:hint="eastAsia"/>
          <w:color w:val="000000"/>
          <w:sz w:val="20"/>
          <w:szCs w:val="20"/>
        </w:rPr>
        <w:t>社。</w:t>
      </w:r>
    </w:p>
  </w:footnote>
  <w:footnote w:id="2">
    <w:p w:rsidR="00A23364" w:rsidRPr="003F26CC" w:rsidRDefault="00A23364" w:rsidP="002A265C">
      <w:pPr>
        <w:spacing w:after="0"/>
        <w:rPr>
          <w:sz w:val="20"/>
          <w:szCs w:val="20"/>
        </w:rPr>
      </w:pPr>
      <w:r>
        <w:rPr>
          <w:rStyle w:val="FootnoteReference"/>
        </w:rPr>
        <w:footnoteRef/>
      </w:r>
      <w:r w:rsidRPr="003F26CC">
        <w:rPr>
          <w:rFonts w:ascii="宋体" w:hAnsi="宋体" w:cs="宋体" w:hint="eastAsia"/>
          <w:color w:val="000000"/>
          <w:sz w:val="20"/>
          <w:szCs w:val="20"/>
        </w:rPr>
        <w:t>李杰，</w:t>
      </w:r>
      <w:r w:rsidRPr="003F26CC">
        <w:rPr>
          <w:rFonts w:cs="Calibri"/>
          <w:color w:val="000000"/>
          <w:sz w:val="20"/>
          <w:szCs w:val="20"/>
        </w:rPr>
        <w:t>2010</w:t>
      </w:r>
      <w:r w:rsidRPr="003F26CC">
        <w:rPr>
          <w:rFonts w:cs="Calibri"/>
          <w:color w:val="000000"/>
          <w:sz w:val="20"/>
          <w:szCs w:val="20"/>
        </w:rPr>
        <w:t>，奢侈品品牌管理</w:t>
      </w:r>
      <w:r w:rsidRPr="003F26CC">
        <w:rPr>
          <w:rFonts w:cs="Calibri" w:hint="eastAsia"/>
          <w:color w:val="000000"/>
          <w:sz w:val="20"/>
          <w:szCs w:val="20"/>
        </w:rPr>
        <w:t>——</w:t>
      </w:r>
      <w:r w:rsidRPr="003F26CC">
        <w:rPr>
          <w:rFonts w:cs="Calibri"/>
          <w:color w:val="000000"/>
          <w:sz w:val="20"/>
          <w:szCs w:val="20"/>
        </w:rPr>
        <w:t>方法与实</w:t>
      </w:r>
      <w:r w:rsidRPr="003F26CC">
        <w:rPr>
          <w:rFonts w:ascii="宋体" w:hAnsi="宋体" w:cs="宋体" w:hint="eastAsia"/>
          <w:color w:val="000000"/>
          <w:sz w:val="20"/>
          <w:szCs w:val="20"/>
        </w:rPr>
        <w:t>践，</w:t>
      </w:r>
      <w:r w:rsidRPr="003F26CC">
        <w:rPr>
          <w:rFonts w:cs="Calibri"/>
          <w:color w:val="000000"/>
          <w:sz w:val="20"/>
          <w:szCs w:val="20"/>
        </w:rPr>
        <w:t>北京大学出版</w:t>
      </w:r>
      <w:r w:rsidRPr="003F26CC">
        <w:rPr>
          <w:rFonts w:ascii="宋体" w:hAnsi="宋体" w:cs="宋体" w:hint="eastAsia"/>
          <w:color w:val="000000"/>
          <w:sz w:val="20"/>
          <w:szCs w:val="20"/>
        </w:rPr>
        <w:t>社。</w:t>
      </w:r>
    </w:p>
  </w:footnote>
  <w:footnote w:id="3">
    <w:p w:rsidR="00A23364" w:rsidRDefault="00A23364" w:rsidP="002A265C">
      <w:pPr>
        <w:pStyle w:val="FootnoteText"/>
        <w:jc w:val="both"/>
      </w:pPr>
      <w:r>
        <w:rPr>
          <w:rStyle w:val="FootnoteReference"/>
        </w:rPr>
        <w:footnoteRef/>
      </w:r>
      <w:r>
        <w:t xml:space="preserve"> </w:t>
      </w:r>
      <w:r w:rsidRPr="003F26CC">
        <w:rPr>
          <w:rFonts w:ascii="Calibri" w:hAnsi="Calibri" w:cs="Calibri"/>
          <w:color w:val="000000"/>
        </w:rPr>
        <w:t>Michel Chevalier</w:t>
      </w:r>
      <w:r w:rsidRPr="003F26CC">
        <w:rPr>
          <w:rFonts w:ascii="宋体" w:eastAsia="宋体" w:hAnsi="宋体" w:cs="宋体" w:hint="eastAsia"/>
          <w:color w:val="000000"/>
        </w:rPr>
        <w:t>，</w:t>
      </w:r>
      <w:r w:rsidRPr="003F26CC">
        <w:rPr>
          <w:rFonts w:ascii="Calibri" w:hAnsi="Calibri" w:cs="Calibri"/>
          <w:color w:val="000000"/>
        </w:rPr>
        <w:t xml:space="preserve"> Gerald Mazzalovo</w:t>
      </w:r>
      <w:r w:rsidRPr="003F26CC">
        <w:rPr>
          <w:rFonts w:ascii="宋体" w:eastAsia="宋体" w:hAnsi="宋体" w:cs="宋体" w:hint="eastAsia"/>
          <w:color w:val="000000"/>
        </w:rPr>
        <w:t>，</w:t>
      </w:r>
      <w:r w:rsidRPr="003F26CC">
        <w:rPr>
          <w:rFonts w:ascii="Calibri" w:hAnsi="Calibri" w:cs="Calibri"/>
          <w:color w:val="000000"/>
        </w:rPr>
        <w:t xml:space="preserve"> Pierre Xiao Lu</w:t>
      </w:r>
      <w:r w:rsidRPr="003F26CC">
        <w:rPr>
          <w:rFonts w:ascii="Calibri" w:hAnsi="Calibri" w:cs="Calibri"/>
          <w:color w:val="000000"/>
        </w:rPr>
        <w:t>，</w:t>
      </w:r>
      <w:r w:rsidRPr="003F26CC">
        <w:rPr>
          <w:rFonts w:ascii="Calibri" w:hAnsi="Calibri" w:cs="Calibri"/>
          <w:color w:val="000000"/>
        </w:rPr>
        <w:t>2016</w:t>
      </w:r>
      <w:r w:rsidRPr="003F26CC">
        <w:rPr>
          <w:rFonts w:ascii="Calibri" w:hAnsi="Calibri" w:cs="Calibri"/>
          <w:color w:val="000000"/>
        </w:rPr>
        <w:t>，奢侈品品牌管理（</w:t>
      </w:r>
      <w:r w:rsidRPr="003F26CC">
        <w:rPr>
          <w:rFonts w:ascii="Calibri" w:hAnsi="Calibri" w:cs="Calibri"/>
          <w:color w:val="000000"/>
        </w:rPr>
        <w:t xml:space="preserve"> Luxury Brand Management</w:t>
      </w:r>
      <w:r w:rsidRPr="003F26CC">
        <w:rPr>
          <w:rFonts w:ascii="Calibri" w:hAnsi="Calibri" w:cs="Calibri"/>
          <w:color w:val="000000"/>
        </w:rPr>
        <w:t>），</w:t>
      </w:r>
      <w:r w:rsidRPr="003F26CC">
        <w:rPr>
          <w:rFonts w:ascii="宋体" w:eastAsia="宋体" w:hAnsi="宋体" w:cs="宋体" w:hint="eastAsia"/>
          <w:color w:val="000000"/>
        </w:rPr>
        <w:t>格致出版社与上海人民出版社。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1072BC"/>
    <w:rsid w:val="0012341C"/>
    <w:rsid w:val="001B519F"/>
    <w:rsid w:val="001D48D9"/>
    <w:rsid w:val="00256B39"/>
    <w:rsid w:val="0026033C"/>
    <w:rsid w:val="002A265C"/>
    <w:rsid w:val="002E3721"/>
    <w:rsid w:val="00313BBA"/>
    <w:rsid w:val="00324C49"/>
    <w:rsid w:val="0032602E"/>
    <w:rsid w:val="003367AE"/>
    <w:rsid w:val="003B1258"/>
    <w:rsid w:val="004100B0"/>
    <w:rsid w:val="0042337B"/>
    <w:rsid w:val="005467DC"/>
    <w:rsid w:val="00550C43"/>
    <w:rsid w:val="00553D03"/>
    <w:rsid w:val="005B2B6D"/>
    <w:rsid w:val="005B4B4E"/>
    <w:rsid w:val="00624FE1"/>
    <w:rsid w:val="006428CD"/>
    <w:rsid w:val="006B3088"/>
    <w:rsid w:val="007208D6"/>
    <w:rsid w:val="008077B6"/>
    <w:rsid w:val="008926D2"/>
    <w:rsid w:val="008B397C"/>
    <w:rsid w:val="008B47F4"/>
    <w:rsid w:val="00900019"/>
    <w:rsid w:val="0099063E"/>
    <w:rsid w:val="00A155B5"/>
    <w:rsid w:val="00A1773E"/>
    <w:rsid w:val="00A23364"/>
    <w:rsid w:val="00A67F0A"/>
    <w:rsid w:val="00A769B1"/>
    <w:rsid w:val="00A837D5"/>
    <w:rsid w:val="00AB3870"/>
    <w:rsid w:val="00AC4C45"/>
    <w:rsid w:val="00B46F21"/>
    <w:rsid w:val="00B511A5"/>
    <w:rsid w:val="00B736A7"/>
    <w:rsid w:val="00B7651F"/>
    <w:rsid w:val="00C46DF6"/>
    <w:rsid w:val="00C56E09"/>
    <w:rsid w:val="00CC60C8"/>
    <w:rsid w:val="00CF096B"/>
    <w:rsid w:val="00D57163"/>
    <w:rsid w:val="00E16D30"/>
    <w:rsid w:val="00E33169"/>
    <w:rsid w:val="00E70904"/>
    <w:rsid w:val="00E82986"/>
    <w:rsid w:val="00EC2591"/>
    <w:rsid w:val="00EF44B1"/>
    <w:rsid w:val="00F35AA0"/>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49"/>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fan wu</cp:lastModifiedBy>
  <cp:revision>2</cp:revision>
  <dcterms:created xsi:type="dcterms:W3CDTF">2019-10-27T09:38:00Z</dcterms:created>
  <dcterms:modified xsi:type="dcterms:W3CDTF">2019-10-27T09:38:00Z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