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EF5E3">
      <w:pPr>
        <w:jc w:val="center"/>
        <w:rPr>
          <w:rFonts w:hint="eastAsia" w:ascii="黑体" w:hAnsi="黑体" w:eastAsia="黑体"/>
          <w:bCs/>
          <w:sz w:val="32"/>
          <w:szCs w:val="32"/>
          <w:lang w:eastAsia="zh-CN"/>
        </w:rPr>
      </w:pPr>
      <w:r>
        <w:rPr>
          <w:rFonts w:hint="eastAsia" w:ascii="黑体" w:hAnsi="黑体" w:eastAsia="黑体"/>
          <w:bCs/>
          <w:sz w:val="32"/>
          <w:szCs w:val="32"/>
          <w:lang w:eastAsia="zh-CN"/>
        </w:rPr>
        <w:t>《</w:t>
      </w:r>
      <w:r>
        <w:rPr>
          <w:rFonts w:hint="eastAsia" w:ascii="黑体" w:hAnsi="黑体" w:eastAsia="黑体"/>
          <w:bCs/>
          <w:sz w:val="32"/>
          <w:szCs w:val="32"/>
          <w:lang w:val="en-US" w:eastAsia="zh-CN"/>
        </w:rPr>
        <w:t>首饰设计专业绘图》</w:t>
      </w:r>
      <w:r>
        <w:rPr>
          <w:rFonts w:hint="eastAsia" w:ascii="黑体" w:hAnsi="黑体" w:eastAsia="黑体"/>
          <w:bCs/>
          <w:sz w:val="32"/>
          <w:szCs w:val="32"/>
        </w:rPr>
        <w:t>本科课程教学大纲</w:t>
      </w:r>
      <w:r>
        <w:rPr>
          <w:rFonts w:hint="eastAsia" w:ascii="黑体" w:hAnsi="黑体" w:eastAsia="黑体"/>
          <w:bCs/>
          <w:sz w:val="32"/>
          <w:szCs w:val="32"/>
          <w:lang w:eastAsia="zh-CN"/>
        </w:rPr>
        <w:t>（</w:t>
      </w:r>
      <w:r>
        <w:rPr>
          <w:rFonts w:hint="eastAsia" w:ascii="黑体" w:hAnsi="黑体" w:eastAsia="黑体"/>
          <w:bCs/>
          <w:sz w:val="32"/>
          <w:szCs w:val="32"/>
          <w:lang w:val="en-US" w:eastAsia="zh-CN"/>
        </w:rPr>
        <w:t>理论课</w:t>
      </w:r>
      <w:r>
        <w:rPr>
          <w:rFonts w:hint="eastAsia" w:ascii="黑体" w:hAnsi="黑体" w:eastAsia="黑体"/>
          <w:bCs/>
          <w:sz w:val="32"/>
          <w:szCs w:val="32"/>
          <w:lang w:eastAsia="zh-CN"/>
        </w:rPr>
        <w:t>）</w:t>
      </w:r>
    </w:p>
    <w:p w14:paraId="29A6445C">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505AACAE">
        <w:trPr>
          <w:trHeight w:val="340" w:hRule="atLeast"/>
        </w:trPr>
        <w:tc>
          <w:tcPr>
            <w:tcW w:w="1691" w:type="dxa"/>
            <w:vMerge w:val="restart"/>
            <w:tcBorders>
              <w:top w:val="single" w:color="auto" w:sz="12" w:space="0"/>
              <w:left w:val="single" w:color="auto" w:sz="12" w:space="0"/>
            </w:tcBorders>
            <w:shd w:val="clear" w:color="auto" w:fill="auto"/>
            <w:vAlign w:val="center"/>
          </w:tcPr>
          <w:p w14:paraId="7EB868E2">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23E1E01D">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Times New Roman" w:hAnsi="Times New Roman"/>
                <w:b w:val="0"/>
                <w:bCs/>
                <w:sz w:val="21"/>
                <w:szCs w:val="21"/>
                <w:lang w:val="en-US" w:eastAsia="zh-CN"/>
              </w:rPr>
              <w:t>首饰设计专业绘图</w:t>
            </w:r>
          </w:p>
        </w:tc>
      </w:tr>
      <w:tr w14:paraId="5EE6A176">
        <w:trPr>
          <w:trHeight w:val="340" w:hRule="atLeast"/>
        </w:trPr>
        <w:tc>
          <w:tcPr>
            <w:tcW w:w="1691" w:type="dxa"/>
            <w:vMerge w:val="continue"/>
            <w:tcBorders>
              <w:left w:val="single" w:color="auto" w:sz="12" w:space="0"/>
            </w:tcBorders>
            <w:shd w:val="clear" w:color="auto" w:fill="auto"/>
            <w:vAlign w:val="center"/>
          </w:tcPr>
          <w:p w14:paraId="0FE1DB24">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62E37244">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eastAsia" w:ascii="Times New Roman" w:hAnsi="Times New Roman"/>
                <w:b w:val="0"/>
                <w:bCs/>
                <w:sz w:val="24"/>
                <w:szCs w:val="24"/>
              </w:rPr>
              <w:t>Jewelry Professional Drawing</w:t>
            </w:r>
          </w:p>
        </w:tc>
      </w:tr>
      <w:tr w14:paraId="495E8007">
        <w:trPr>
          <w:trHeight w:val="340" w:hRule="atLeast"/>
        </w:trPr>
        <w:tc>
          <w:tcPr>
            <w:tcW w:w="1691" w:type="dxa"/>
            <w:tcBorders>
              <w:left w:val="single" w:color="auto" w:sz="12" w:space="0"/>
            </w:tcBorders>
            <w:shd w:val="clear" w:color="auto" w:fill="auto"/>
            <w:vAlign w:val="center"/>
          </w:tcPr>
          <w:p w14:paraId="3C30B92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07E8B0B2">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sz w:val="21"/>
                <w:szCs w:val="21"/>
                <w:lang w:val="en-US" w:eastAsia="zh-CN"/>
              </w:rPr>
              <w:t>2040277</w:t>
            </w:r>
          </w:p>
        </w:tc>
        <w:tc>
          <w:tcPr>
            <w:tcW w:w="2126" w:type="dxa"/>
            <w:gridSpan w:val="2"/>
            <w:vAlign w:val="center"/>
          </w:tcPr>
          <w:p w14:paraId="0BC6D5E3">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52035F48">
            <w:pPr>
              <w:widowControl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r>
      <w:tr w14:paraId="0C4F90F6">
        <w:trPr>
          <w:trHeight w:val="340" w:hRule="atLeast"/>
        </w:trPr>
        <w:tc>
          <w:tcPr>
            <w:tcW w:w="1691" w:type="dxa"/>
            <w:tcBorders>
              <w:left w:val="single" w:color="auto" w:sz="12" w:space="0"/>
            </w:tcBorders>
            <w:shd w:val="clear" w:color="auto" w:fill="auto"/>
            <w:vAlign w:val="center"/>
          </w:tcPr>
          <w:p w14:paraId="58513139">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3F28E406">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64</w:t>
            </w:r>
          </w:p>
        </w:tc>
        <w:tc>
          <w:tcPr>
            <w:tcW w:w="1272" w:type="dxa"/>
            <w:vAlign w:val="center"/>
          </w:tcPr>
          <w:p w14:paraId="41F3F35C">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2685EFE9">
            <w:pPr>
              <w:widowControl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24</w:t>
            </w:r>
          </w:p>
        </w:tc>
        <w:tc>
          <w:tcPr>
            <w:tcW w:w="1413" w:type="dxa"/>
            <w:gridSpan w:val="2"/>
            <w:vAlign w:val="center"/>
          </w:tcPr>
          <w:p w14:paraId="2E182D42">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5179AFEA">
            <w:pPr>
              <w:widowControl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40</w:t>
            </w:r>
          </w:p>
        </w:tc>
      </w:tr>
      <w:tr w14:paraId="7A36845A">
        <w:trPr>
          <w:trHeight w:val="340" w:hRule="atLeast"/>
        </w:trPr>
        <w:tc>
          <w:tcPr>
            <w:tcW w:w="1691" w:type="dxa"/>
            <w:tcBorders>
              <w:left w:val="single" w:color="auto" w:sz="12" w:space="0"/>
            </w:tcBorders>
            <w:shd w:val="clear" w:color="auto" w:fill="auto"/>
            <w:vAlign w:val="center"/>
          </w:tcPr>
          <w:p w14:paraId="0A6FE7C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0A5115B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珠宝学院</w:t>
            </w:r>
          </w:p>
        </w:tc>
        <w:tc>
          <w:tcPr>
            <w:tcW w:w="2126" w:type="dxa"/>
            <w:gridSpan w:val="2"/>
            <w:vAlign w:val="center"/>
          </w:tcPr>
          <w:p w14:paraId="59E4ED5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32C714DA">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产品设计（珠宝首饰设计）</w:t>
            </w:r>
            <w:r>
              <w:rPr>
                <w:rFonts w:hint="eastAsia"/>
                <w:color w:val="000000" w:themeColor="text1"/>
                <w:sz w:val="21"/>
                <w:szCs w:val="21"/>
                <w:lang w:val="en-US" w:eastAsia="zh-CN"/>
                <w14:textFill>
                  <w14:solidFill>
                    <w14:schemeClr w14:val="tx1"/>
                  </w14:solidFill>
                </w14:textFill>
              </w:rPr>
              <w:t>中本贯通专业一年</w:t>
            </w:r>
            <w:r>
              <w:rPr>
                <w:rFonts w:hint="eastAsia"/>
                <w:color w:val="000000" w:themeColor="text1"/>
                <w:sz w:val="21"/>
                <w:szCs w:val="21"/>
                <w14:textFill>
                  <w14:solidFill>
                    <w14:schemeClr w14:val="tx1"/>
                  </w14:solidFill>
                </w14:textFill>
              </w:rPr>
              <w:t>年级</w:t>
            </w:r>
          </w:p>
        </w:tc>
      </w:tr>
      <w:tr w14:paraId="1BA063F1">
        <w:trPr>
          <w:trHeight w:val="340" w:hRule="atLeast"/>
        </w:trPr>
        <w:tc>
          <w:tcPr>
            <w:tcW w:w="1691" w:type="dxa"/>
            <w:tcBorders>
              <w:left w:val="single" w:color="auto" w:sz="12" w:space="0"/>
            </w:tcBorders>
            <w:shd w:val="clear" w:color="auto" w:fill="auto"/>
            <w:vAlign w:val="center"/>
          </w:tcPr>
          <w:p w14:paraId="134B8A2F">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6D85F2EC">
            <w:pPr>
              <w:widowControl w:val="0"/>
              <w:jc w:val="center"/>
              <w:rPr>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专业</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必修</w:t>
            </w:r>
            <w:r>
              <w:rPr>
                <w:rFonts w:hint="eastAsia" w:asciiTheme="minorEastAsia" w:hAnsiTheme="minorEastAsia" w:eastAsiaTheme="minorEastAsia" w:cstheme="minorEastAsia"/>
                <w:color w:val="000000" w:themeColor="text1"/>
                <w:sz w:val="21"/>
                <w:szCs w:val="21"/>
                <w14:textFill>
                  <w14:solidFill>
                    <w14:schemeClr w14:val="tx1"/>
                  </w14:solidFill>
                </w14:textFill>
              </w:rPr>
              <w:t>课</w:t>
            </w:r>
          </w:p>
        </w:tc>
        <w:tc>
          <w:tcPr>
            <w:tcW w:w="2126" w:type="dxa"/>
            <w:gridSpan w:val="2"/>
            <w:vAlign w:val="center"/>
          </w:tcPr>
          <w:p w14:paraId="2DCD0C5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426A3869">
            <w:pPr>
              <w:widowControl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p>
        </w:tc>
      </w:tr>
      <w:tr w14:paraId="2A4B472B">
        <w:trPr>
          <w:trHeight w:val="340" w:hRule="atLeast"/>
        </w:trPr>
        <w:tc>
          <w:tcPr>
            <w:tcW w:w="1691" w:type="dxa"/>
            <w:tcBorders>
              <w:left w:val="single" w:color="auto" w:sz="12" w:space="0"/>
            </w:tcBorders>
            <w:shd w:val="clear" w:color="auto" w:fill="auto"/>
            <w:vAlign w:val="center"/>
          </w:tcPr>
          <w:p w14:paraId="38F3D3B7">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5E0348F4">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eastAsia="宋体" w:cs="宋体"/>
                <w:color w:val="000000"/>
                <w:sz w:val="20"/>
                <w:szCs w:val="20"/>
                <w:lang w:val="en-US" w:eastAsia="zh-CN" w:bidi="ar-SA"/>
              </w:rPr>
              <w:t>《首饰设计基础教程》，</w:t>
            </w:r>
            <w:r>
              <w:rPr>
                <w:rFonts w:hint="default" w:ascii="Times New Roman" w:hAnsi="Times New Roman" w:eastAsia="宋体" w:cs="宋体"/>
                <w:color w:val="000000"/>
                <w:sz w:val="20"/>
                <w:szCs w:val="20"/>
                <w:lang w:val="en-US" w:eastAsia="zh-CN" w:bidi="ar-SA"/>
              </w:rPr>
              <w:t>王海涛，朱玉 ，金瑛，蔡善武</w:t>
            </w:r>
            <w:r>
              <w:rPr>
                <w:rFonts w:hint="eastAsia" w:ascii="Times New Roman" w:hAnsi="Times New Roman" w:eastAsia="宋体" w:cs="宋体"/>
                <w:color w:val="000000"/>
                <w:sz w:val="20"/>
                <w:szCs w:val="20"/>
                <w:lang w:val="en-US" w:eastAsia="zh-CN" w:bidi="ar-SA"/>
              </w:rPr>
              <w:t>，中国地质大学出版社</w:t>
            </w:r>
            <w:r>
              <w:rPr>
                <w:rFonts w:hint="default" w:ascii="Times New Roman" w:hAnsi="Times New Roman" w:eastAsia="宋体" w:cs="宋体"/>
                <w:color w:val="000000"/>
                <w:sz w:val="20"/>
                <w:szCs w:val="20"/>
                <w:lang w:val="en-US" w:eastAsia="zh-CN" w:bidi="ar-SA"/>
              </w:rPr>
              <w:t>,</w:t>
            </w:r>
            <w:r>
              <w:rPr>
                <w:rFonts w:hint="eastAsia" w:ascii="Times New Roman" w:hAnsi="Times New Roman" w:eastAsia="宋体" w:cs="宋体"/>
                <w:color w:val="000000"/>
                <w:sz w:val="20"/>
                <w:szCs w:val="20"/>
                <w:lang w:val="en-US" w:eastAsia="zh-CN" w:bidi="ar-SA"/>
              </w:rPr>
              <w:t>2024年8月第1版第1次</w:t>
            </w:r>
            <w:r>
              <w:rPr>
                <w:rFonts w:hint="default" w:ascii="Times New Roman" w:hAnsi="Times New Roman" w:eastAsia="宋体" w:cs="宋体"/>
                <w:color w:val="000000"/>
                <w:sz w:val="20"/>
                <w:szCs w:val="20"/>
                <w:lang w:val="en-US" w:eastAsia="zh-CN" w:bidi="ar-SA"/>
              </w:rPr>
              <w:t>,</w:t>
            </w:r>
            <w:r>
              <w:rPr>
                <w:rFonts w:hint="eastAsia" w:ascii="Times New Roman" w:hAnsi="Times New Roman" w:eastAsia="宋体" w:cs="宋体"/>
                <w:color w:val="000000"/>
                <w:sz w:val="20"/>
                <w:szCs w:val="20"/>
                <w:lang w:val="en-US" w:eastAsia="zh-CN" w:bidi="ar-SA"/>
              </w:rPr>
              <w:t>ISBN号978-7-5625-5960-3</w:t>
            </w:r>
          </w:p>
        </w:tc>
        <w:tc>
          <w:tcPr>
            <w:tcW w:w="1413" w:type="dxa"/>
            <w:gridSpan w:val="2"/>
            <w:vAlign w:val="center"/>
          </w:tcPr>
          <w:p w14:paraId="3F03F71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4280789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3BA363D6">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3E6FC272">
        <w:trPr>
          <w:trHeight w:val="680" w:hRule="atLeast"/>
        </w:trPr>
        <w:tc>
          <w:tcPr>
            <w:tcW w:w="1691" w:type="dxa"/>
            <w:tcBorders>
              <w:left w:val="single" w:color="auto" w:sz="12" w:space="0"/>
            </w:tcBorders>
            <w:shd w:val="clear" w:color="auto" w:fill="auto"/>
            <w:vAlign w:val="center"/>
          </w:tcPr>
          <w:p w14:paraId="7BABB64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4ED48050">
            <w:pPr>
              <w:pStyle w:val="15"/>
              <w:widowControl w:val="0"/>
              <w:jc w:val="both"/>
            </w:pPr>
            <w:r>
              <w:rPr>
                <w:rFonts w:hint="eastAsia"/>
                <w:sz w:val="20"/>
                <w:szCs w:val="20"/>
                <w:lang w:val="en-US" w:eastAsia="zh-CN"/>
              </w:rPr>
              <w:t>设计美学（2120009）3、工艺美术史（2040035）2、设计基础（20400724）4</w:t>
            </w:r>
          </w:p>
        </w:tc>
      </w:tr>
      <w:tr w14:paraId="536A25B5">
        <w:trPr>
          <w:trHeight w:val="3912" w:hRule="atLeast"/>
        </w:trPr>
        <w:tc>
          <w:tcPr>
            <w:tcW w:w="1691" w:type="dxa"/>
            <w:tcBorders>
              <w:left w:val="single" w:color="auto" w:sz="12" w:space="0"/>
            </w:tcBorders>
            <w:shd w:val="clear" w:color="auto" w:fill="auto"/>
            <w:vAlign w:val="center"/>
          </w:tcPr>
          <w:p w14:paraId="651FD28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vAlign w:val="top"/>
          </w:tcPr>
          <w:p w14:paraId="79EABF34">
            <w:pPr>
              <w:widowControl/>
              <w:spacing w:before="156" w:beforeLines="50" w:after="156" w:afterLines="50" w:line="240" w:lineRule="auto"/>
              <w:ind w:firstLine="300" w:firstLineChars="150"/>
              <w:jc w:val="left"/>
              <w:rPr>
                <w:rFonts w:hint="default"/>
                <w:color w:val="000000"/>
                <w:sz w:val="20"/>
                <w:szCs w:val="20"/>
              </w:rPr>
            </w:pPr>
            <w:r>
              <w:rPr>
                <w:rFonts w:hint="eastAsia"/>
                <w:color w:val="000000"/>
                <w:sz w:val="20"/>
                <w:szCs w:val="20"/>
                <w:lang w:val="en-US" w:eastAsia="zh-CN"/>
              </w:rPr>
              <w:t>首饰设计专业绘图这门课是产品设计（珠宝</w:t>
            </w:r>
            <w:r>
              <w:rPr>
                <w:rFonts w:hint="eastAsia"/>
                <w:color w:val="000000"/>
                <w:sz w:val="20"/>
                <w:szCs w:val="20"/>
              </w:rPr>
              <w:t>首饰设计</w:t>
            </w:r>
            <w:r>
              <w:rPr>
                <w:rFonts w:hint="eastAsia"/>
                <w:color w:val="000000"/>
                <w:sz w:val="20"/>
                <w:szCs w:val="20"/>
                <w:lang w:eastAsia="zh-CN"/>
              </w:rPr>
              <w:t>）</w:t>
            </w:r>
            <w:r>
              <w:rPr>
                <w:rFonts w:hint="eastAsia"/>
                <w:color w:val="000000"/>
                <w:sz w:val="20"/>
                <w:szCs w:val="20"/>
              </w:rPr>
              <w:t>中不可缺少的一项基本技巧，应用于首饰设计的各个阶段，在设计的初级阶段</w:t>
            </w:r>
            <w:r>
              <w:rPr>
                <w:rFonts w:hint="eastAsia"/>
                <w:color w:val="000000"/>
                <w:sz w:val="20"/>
                <w:szCs w:val="20"/>
                <w:lang w:val="en-US" w:eastAsia="zh-CN"/>
              </w:rPr>
              <w:t>珠宝</w:t>
            </w:r>
            <w:r>
              <w:rPr>
                <w:rFonts w:hint="eastAsia"/>
                <w:color w:val="000000"/>
                <w:sz w:val="20"/>
                <w:szCs w:val="20"/>
              </w:rPr>
              <w:t>专业绘图</w:t>
            </w:r>
            <w:r>
              <w:rPr>
                <w:rFonts w:hint="eastAsia"/>
                <w:color w:val="000000"/>
                <w:sz w:val="20"/>
                <w:szCs w:val="20"/>
                <w:lang w:val="en-US" w:eastAsia="zh-CN"/>
              </w:rPr>
              <w:t>表现能力</w:t>
            </w:r>
            <w:r>
              <w:rPr>
                <w:rFonts w:hint="eastAsia"/>
                <w:color w:val="000000"/>
                <w:sz w:val="20"/>
                <w:szCs w:val="20"/>
              </w:rPr>
              <w:t>主要用于记录灵感、设计变化的过程，落实研究和视觉理念，在实际设计中，将设计每个细节与材质通过手绘技法表达清楚。本课程主要介绍首饰设计</w:t>
            </w:r>
            <w:r>
              <w:rPr>
                <w:rFonts w:hint="eastAsia"/>
                <w:color w:val="000000"/>
                <w:sz w:val="20"/>
                <w:szCs w:val="20"/>
                <w:lang w:val="en-US" w:eastAsia="zh-CN"/>
              </w:rPr>
              <w:t>中多种材质的</w:t>
            </w:r>
            <w:r>
              <w:rPr>
                <w:rFonts w:hint="eastAsia"/>
                <w:color w:val="000000"/>
                <w:sz w:val="20"/>
                <w:szCs w:val="20"/>
              </w:rPr>
              <w:t>表现技法。从素描和色彩等基础知识开始，分步骤介绍不同品种、不同材质、不同结构的珠宝</w:t>
            </w:r>
            <w:r>
              <w:rPr>
                <w:rFonts w:hint="eastAsia"/>
                <w:color w:val="000000"/>
                <w:sz w:val="20"/>
                <w:szCs w:val="20"/>
                <w:lang w:val="en-US" w:eastAsia="zh-Hans"/>
              </w:rPr>
              <w:t>首饰</w:t>
            </w:r>
            <w:r>
              <w:rPr>
                <w:rFonts w:hint="eastAsia"/>
                <w:color w:val="000000"/>
                <w:sz w:val="20"/>
                <w:szCs w:val="20"/>
              </w:rPr>
              <w:t>表现技巧。除了介绍常用材质以外，还涉及首饰结构与透视的基本理论、首饰三视图的基本画法。重点在于对宝石、金属材质的</w:t>
            </w:r>
            <w:r>
              <w:rPr>
                <w:rFonts w:hint="eastAsia"/>
                <w:color w:val="000000"/>
                <w:sz w:val="20"/>
                <w:szCs w:val="20"/>
                <w:lang w:val="en-US" w:eastAsia="zh-Hans"/>
              </w:rPr>
              <w:t>绘画</w:t>
            </w:r>
            <w:r>
              <w:rPr>
                <w:rFonts w:hint="eastAsia"/>
                <w:color w:val="000000"/>
                <w:sz w:val="20"/>
                <w:szCs w:val="20"/>
              </w:rPr>
              <w:t>表现方法，</w:t>
            </w:r>
            <w:r>
              <w:rPr>
                <w:rFonts w:hint="eastAsia"/>
                <w:color w:val="000000"/>
                <w:sz w:val="20"/>
                <w:szCs w:val="20"/>
                <w:lang w:val="en-US" w:eastAsia="zh-Hans"/>
              </w:rPr>
              <w:t>运用</w:t>
            </w:r>
            <w:r>
              <w:rPr>
                <w:rFonts w:hint="eastAsia"/>
                <w:color w:val="000000"/>
                <w:sz w:val="20"/>
                <w:szCs w:val="20"/>
                <w:lang w:val="en-US" w:eastAsia="zh-CN"/>
              </w:rPr>
              <w:t>多种</w:t>
            </w:r>
            <w:r>
              <w:rPr>
                <w:rFonts w:hint="eastAsia"/>
                <w:color w:val="000000"/>
                <w:sz w:val="20"/>
                <w:szCs w:val="20"/>
              </w:rPr>
              <w:t>手绘工具，对</w:t>
            </w:r>
            <w:r>
              <w:rPr>
                <w:rFonts w:hint="eastAsia"/>
                <w:color w:val="000000"/>
                <w:sz w:val="20"/>
                <w:szCs w:val="20"/>
                <w:lang w:val="en-US" w:eastAsia="zh-CN"/>
              </w:rPr>
              <w:t>珠宝首饰</w:t>
            </w:r>
            <w:r>
              <w:rPr>
                <w:rFonts w:hint="eastAsia"/>
                <w:color w:val="000000"/>
                <w:sz w:val="20"/>
                <w:szCs w:val="20"/>
              </w:rPr>
              <w:t>进行</w:t>
            </w:r>
            <w:r>
              <w:rPr>
                <w:rFonts w:hint="eastAsia"/>
                <w:color w:val="000000"/>
                <w:sz w:val="20"/>
                <w:szCs w:val="20"/>
                <w:lang w:val="en-US" w:eastAsia="zh-CN"/>
              </w:rPr>
              <w:t>手绘</w:t>
            </w:r>
            <w:r>
              <w:rPr>
                <w:rFonts w:hint="eastAsia"/>
                <w:color w:val="000000"/>
                <w:sz w:val="20"/>
                <w:szCs w:val="20"/>
              </w:rPr>
              <w:t>绘图</w:t>
            </w:r>
            <w:r>
              <w:rPr>
                <w:rFonts w:hint="eastAsia"/>
                <w:color w:val="000000"/>
                <w:sz w:val="20"/>
                <w:szCs w:val="20"/>
                <w:lang w:val="en-US" w:eastAsia="zh-Hans"/>
              </w:rPr>
              <w:t>表现</w:t>
            </w:r>
            <w:r>
              <w:rPr>
                <w:rFonts w:hint="default"/>
                <w:color w:val="000000"/>
                <w:sz w:val="20"/>
                <w:szCs w:val="20"/>
                <w:lang w:eastAsia="zh-Hans"/>
              </w:rPr>
              <w:t>。</w:t>
            </w:r>
          </w:p>
          <w:p w14:paraId="60B5CECF">
            <w:pPr>
              <w:pStyle w:val="15"/>
              <w:widowControl w:val="0"/>
              <w:jc w:val="both"/>
            </w:pPr>
          </w:p>
        </w:tc>
      </w:tr>
      <w:tr w14:paraId="527A5737">
        <w:trPr>
          <w:trHeight w:val="1701" w:hRule="atLeast"/>
        </w:trPr>
        <w:tc>
          <w:tcPr>
            <w:tcW w:w="1691" w:type="dxa"/>
            <w:tcBorders>
              <w:left w:val="single" w:color="auto" w:sz="12" w:space="0"/>
              <w:bottom w:val="double" w:color="auto" w:sz="4" w:space="0"/>
            </w:tcBorders>
            <w:shd w:val="clear" w:color="auto" w:fill="auto"/>
            <w:vAlign w:val="center"/>
          </w:tcPr>
          <w:p w14:paraId="6D020AF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vAlign w:val="top"/>
          </w:tcPr>
          <w:p w14:paraId="2FAD767F">
            <w:pPr>
              <w:widowControl w:val="0"/>
              <w:snapToGrid w:val="0"/>
              <w:spacing w:line="288" w:lineRule="auto"/>
              <w:ind w:firstLine="400" w:firstLineChars="200"/>
              <w:jc w:val="both"/>
            </w:pPr>
            <w:r>
              <w:rPr>
                <w:rFonts w:hint="eastAsia"/>
                <w:color w:val="000000"/>
                <w:sz w:val="20"/>
                <w:szCs w:val="20"/>
              </w:rPr>
              <w:t>学习本课程的学生应具备手绘基本能力、且对首饰结构等专业知识有一定的认识与了解。因此先修课程包括专业课</w:t>
            </w:r>
            <w:r>
              <w:rPr>
                <w:rFonts w:hint="eastAsia"/>
                <w:color w:val="000000"/>
                <w:sz w:val="20"/>
                <w:szCs w:val="20"/>
                <w:lang w:val="en-US" w:eastAsia="zh-CN"/>
              </w:rPr>
              <w:t>首饰设计导论</w:t>
            </w:r>
            <w:r>
              <w:rPr>
                <w:rFonts w:hint="eastAsia"/>
                <w:color w:val="000000"/>
                <w:sz w:val="20"/>
                <w:szCs w:val="20"/>
              </w:rPr>
              <w:t>、</w:t>
            </w:r>
            <w:r>
              <w:rPr>
                <w:rFonts w:hint="eastAsia"/>
                <w:color w:val="000000"/>
                <w:sz w:val="20"/>
                <w:szCs w:val="20"/>
                <w:lang w:val="en-US" w:eastAsia="zh-CN"/>
              </w:rPr>
              <w:t>设计美学、工艺美术史。</w:t>
            </w:r>
            <w:r>
              <w:rPr>
                <w:rFonts w:hint="eastAsia"/>
                <w:color w:val="000000"/>
                <w:sz w:val="20"/>
                <w:szCs w:val="20"/>
              </w:rPr>
              <w:t>针对中本贯通班级的学生已经在中职阶段具备一些设计基础的知识储备，对造型基础、色彩和图案等课程的知识内容有所掌握，通过前期设计基础课程的基础知识学习以后，也对该课程的学习也有一定的</w:t>
            </w:r>
            <w:r>
              <w:rPr>
                <w:rFonts w:hint="eastAsia"/>
                <w:color w:val="000000"/>
                <w:sz w:val="20"/>
                <w:szCs w:val="20"/>
                <w:lang w:val="en-US" w:eastAsia="zh-Hans"/>
              </w:rPr>
              <w:t>辅助</w:t>
            </w:r>
            <w:r>
              <w:rPr>
                <w:rFonts w:hint="eastAsia"/>
                <w:color w:val="000000"/>
                <w:sz w:val="20"/>
                <w:szCs w:val="20"/>
              </w:rPr>
              <w:t>作用。本课程适于产品设计专业中本贯通班学生在本科</w:t>
            </w:r>
            <w:r>
              <w:rPr>
                <w:rFonts w:hint="eastAsia"/>
                <w:color w:val="000000"/>
                <w:sz w:val="20"/>
                <w:szCs w:val="20"/>
                <w:lang w:val="en-US" w:eastAsia="zh-CN"/>
              </w:rPr>
              <w:t>一年级</w:t>
            </w:r>
            <w:r>
              <w:rPr>
                <w:rFonts w:hint="eastAsia"/>
                <w:color w:val="000000"/>
                <w:sz w:val="20"/>
                <w:szCs w:val="20"/>
              </w:rPr>
              <w:t>第二学期学习。</w:t>
            </w:r>
          </w:p>
        </w:tc>
      </w:tr>
      <w:tr w14:paraId="1DE81FD3">
        <w:trPr>
          <w:trHeight w:val="510" w:hRule="atLeast"/>
        </w:trPr>
        <w:tc>
          <w:tcPr>
            <w:tcW w:w="1691" w:type="dxa"/>
            <w:tcBorders>
              <w:top w:val="double" w:color="auto" w:sz="4" w:space="0"/>
              <w:left w:val="single" w:color="auto" w:sz="12" w:space="0"/>
            </w:tcBorders>
            <w:shd w:val="clear" w:color="auto" w:fill="auto"/>
            <w:vAlign w:val="center"/>
          </w:tcPr>
          <w:p w14:paraId="51179A0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46CD171B">
            <w:pPr>
              <w:widowControl w:val="0"/>
              <w:jc w:val="righ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drawing>
                <wp:inline distT="0" distB="0" distL="114300" distR="114300">
                  <wp:extent cx="806450" cy="641350"/>
                  <wp:effectExtent l="0" t="0" r="6350" b="19050"/>
                  <wp:docPr id="1" name="图片 1" descr="未命名作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作品"/>
                          <pic:cNvPicPr>
                            <a:picLocks noChangeAspect="1"/>
                          </pic:cNvPicPr>
                        </pic:nvPicPr>
                        <pic:blipFill>
                          <a:blip r:embed="rId5"/>
                          <a:srcRect l="35338" t="34951" r="46353" b="50491"/>
                          <a:stretch>
                            <a:fillRect/>
                          </a:stretch>
                        </pic:blipFill>
                        <pic:spPr>
                          <a:xfrm>
                            <a:off x="0" y="0"/>
                            <a:ext cx="806450" cy="641350"/>
                          </a:xfrm>
                          <a:prstGeom prst="rect">
                            <a:avLst/>
                          </a:prstGeom>
                        </pic:spPr>
                      </pic:pic>
                    </a:graphicData>
                  </a:graphic>
                </wp:inline>
              </w:drawing>
            </w:r>
            <w:r>
              <w:rPr>
                <w:rFonts w:hint="eastAsia" w:ascii="黑体" w:hAnsi="黑体" w:eastAsia="黑体"/>
                <w:color w:val="000000" w:themeColor="text1"/>
                <w:sz w:val="21"/>
                <w:szCs w:val="21"/>
                <w:lang w:val="en-US" w:eastAsia="zh-CN"/>
                <w14:textFill>
                  <w14:solidFill>
                    <w14:schemeClr w14:val="tx1"/>
                  </w14:solidFill>
                </w14:textFill>
              </w:rPr>
              <w:t>朱玉</w:t>
            </w:r>
          </w:p>
        </w:tc>
        <w:tc>
          <w:tcPr>
            <w:tcW w:w="1425" w:type="dxa"/>
            <w:gridSpan w:val="2"/>
            <w:tcBorders>
              <w:top w:val="double" w:color="auto" w:sz="4" w:space="0"/>
            </w:tcBorders>
            <w:vAlign w:val="center"/>
          </w:tcPr>
          <w:p w14:paraId="2140BEEE">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6520CDFC">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2024年9月</w:t>
            </w:r>
          </w:p>
        </w:tc>
      </w:tr>
      <w:tr w14:paraId="32036A06">
        <w:trPr>
          <w:trHeight w:val="510" w:hRule="atLeast"/>
        </w:trPr>
        <w:tc>
          <w:tcPr>
            <w:tcW w:w="1691" w:type="dxa"/>
            <w:tcBorders>
              <w:left w:val="single" w:color="auto" w:sz="12" w:space="0"/>
            </w:tcBorders>
            <w:shd w:val="clear" w:color="auto" w:fill="auto"/>
            <w:vAlign w:val="center"/>
          </w:tcPr>
          <w:p w14:paraId="0A6FE13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73FF6C56">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vAlign w:val="center"/>
          </w:tcPr>
          <w:p w14:paraId="0277CA9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3757D53E">
            <w:pPr>
              <w:widowControl w:val="0"/>
              <w:jc w:val="center"/>
              <w:rPr>
                <w:rFonts w:ascii="Times New Roman" w:hAnsi="Times New Roman"/>
                <w:color w:val="000000"/>
                <w:sz w:val="21"/>
                <w:szCs w:val="21"/>
              </w:rPr>
            </w:pPr>
          </w:p>
        </w:tc>
      </w:tr>
      <w:tr w14:paraId="7E05E770">
        <w:trPr>
          <w:trHeight w:val="510" w:hRule="atLeast"/>
        </w:trPr>
        <w:tc>
          <w:tcPr>
            <w:tcW w:w="1691" w:type="dxa"/>
            <w:tcBorders>
              <w:left w:val="single" w:color="auto" w:sz="12" w:space="0"/>
              <w:bottom w:val="single" w:color="auto" w:sz="12" w:space="0"/>
            </w:tcBorders>
            <w:shd w:val="clear" w:color="auto" w:fill="auto"/>
            <w:vAlign w:val="center"/>
          </w:tcPr>
          <w:p w14:paraId="7026A03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6D619BEA">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38A5AFBB">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D6F6E30">
            <w:pPr>
              <w:widowControl w:val="0"/>
              <w:jc w:val="center"/>
              <w:rPr>
                <w:rFonts w:ascii="Times New Roman" w:hAnsi="Times New Roman"/>
                <w:color w:val="000000"/>
                <w:sz w:val="21"/>
                <w:szCs w:val="21"/>
              </w:rPr>
            </w:pPr>
          </w:p>
        </w:tc>
      </w:tr>
    </w:tbl>
    <w:p w14:paraId="0BD0ABE4">
      <w:pPr>
        <w:spacing w:line="100" w:lineRule="exact"/>
        <w:rPr>
          <w:rFonts w:ascii="Arial" w:hAnsi="Arial" w:eastAsia="黑体"/>
        </w:rPr>
      </w:pPr>
      <w:r>
        <w:br w:type="page"/>
      </w:r>
    </w:p>
    <w:p w14:paraId="4E4750A2">
      <w:pPr>
        <w:pStyle w:val="17"/>
        <w:spacing w:before="326" w:beforeLines="100" w:line="360" w:lineRule="auto"/>
        <w:rPr>
          <w:rFonts w:ascii="黑体" w:hAnsi="宋体"/>
        </w:rPr>
      </w:pPr>
      <w:r>
        <w:rPr>
          <w:rFonts w:hint="eastAsia" w:ascii="黑体" w:hAnsi="宋体"/>
        </w:rPr>
        <w:t>二、课程目标与毕业要求</w:t>
      </w:r>
    </w:p>
    <w:p w14:paraId="4C97B6AA">
      <w:pPr>
        <w:pStyle w:val="18"/>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72886BB1">
        <w:trPr>
          <w:trHeight w:val="454" w:hRule="atLeast"/>
          <w:jc w:val="center"/>
        </w:trPr>
        <w:tc>
          <w:tcPr>
            <w:tcW w:w="1206" w:type="dxa"/>
            <w:vAlign w:val="center"/>
          </w:tcPr>
          <w:p w14:paraId="1A5CA17E">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08E2D293">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7565019C">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553BD4AA">
        <w:trPr>
          <w:trHeight w:val="340" w:hRule="atLeast"/>
          <w:jc w:val="center"/>
        </w:trPr>
        <w:tc>
          <w:tcPr>
            <w:tcW w:w="1206" w:type="dxa"/>
            <w:vAlign w:val="center"/>
          </w:tcPr>
          <w:p w14:paraId="12B1BC80">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4272E5B1">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1A367989">
            <w:pPr>
              <w:pStyle w:val="15"/>
              <w:jc w:val="left"/>
              <w:rPr>
                <w:rFonts w:ascii="宋体" w:hAnsi="宋体"/>
                <w:bCs/>
              </w:rPr>
            </w:pPr>
            <w:r>
              <w:rPr>
                <w:rFonts w:hint="eastAsia" w:ascii="宋体" w:hAnsi="宋体"/>
                <w:bCs/>
                <w:lang w:val="en-US" w:eastAsia="zh-CN"/>
              </w:rPr>
              <w:t>掌握珠宝首饰中常规出现的各种刻面及弧面宝石的宝石学性质，具备一定的设计表现甄别能力。</w:t>
            </w:r>
          </w:p>
        </w:tc>
      </w:tr>
      <w:tr w14:paraId="333E8FA9">
        <w:trPr>
          <w:trHeight w:val="340" w:hRule="atLeast"/>
          <w:jc w:val="center"/>
        </w:trPr>
        <w:tc>
          <w:tcPr>
            <w:tcW w:w="1206" w:type="dxa"/>
            <w:vMerge w:val="restart"/>
            <w:vAlign w:val="center"/>
          </w:tcPr>
          <w:p w14:paraId="2BE31D48">
            <w:pPr>
              <w:snapToGrid w:val="0"/>
              <w:jc w:val="center"/>
              <w:rPr>
                <w:bCs/>
              </w:rPr>
            </w:pPr>
            <w:r>
              <w:rPr>
                <w:rFonts w:hint="eastAsia" w:ascii="黑体" w:hAnsi="黑体" w:eastAsia="黑体"/>
                <w:bCs/>
                <w:color w:val="000000"/>
                <w:sz w:val="21"/>
                <w:szCs w:val="18"/>
              </w:rPr>
              <w:t>技能目标</w:t>
            </w:r>
          </w:p>
        </w:tc>
        <w:tc>
          <w:tcPr>
            <w:tcW w:w="764" w:type="dxa"/>
            <w:shd w:val="clear" w:color="auto" w:fill="auto"/>
            <w:vAlign w:val="center"/>
          </w:tcPr>
          <w:p w14:paraId="6B56AEF8">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lang w:val="en-US" w:eastAsia="zh-CN"/>
              </w:rPr>
              <w:t>2</w:t>
            </w:r>
          </w:p>
        </w:tc>
        <w:tc>
          <w:tcPr>
            <w:tcW w:w="6306" w:type="dxa"/>
            <w:vAlign w:val="center"/>
          </w:tcPr>
          <w:p w14:paraId="4FF35825">
            <w:pPr>
              <w:pStyle w:val="15"/>
              <w:jc w:val="left"/>
              <w:rPr>
                <w:rFonts w:ascii="宋体" w:hAnsi="宋体"/>
                <w:bCs/>
              </w:rPr>
            </w:pPr>
            <w:r>
              <w:rPr>
                <w:rFonts w:hint="eastAsia" w:ascii="宋体" w:hAnsi="宋体"/>
                <w:bCs/>
                <w:lang w:val="en-US" w:eastAsia="zh-CN"/>
              </w:rPr>
              <w:t>能掌握各种宝石的特性和绘制技法，完成以宝石为主体的首饰成品手绘表现作品。</w:t>
            </w:r>
          </w:p>
        </w:tc>
      </w:tr>
      <w:tr w14:paraId="6AAE47E3">
        <w:trPr>
          <w:trHeight w:val="340" w:hRule="atLeast"/>
          <w:jc w:val="center"/>
        </w:trPr>
        <w:tc>
          <w:tcPr>
            <w:tcW w:w="1206" w:type="dxa"/>
            <w:vMerge w:val="continue"/>
            <w:vAlign w:val="center"/>
          </w:tcPr>
          <w:p w14:paraId="5E0E9CC7">
            <w:pPr>
              <w:snapToGrid w:val="0"/>
              <w:jc w:val="center"/>
            </w:pPr>
          </w:p>
        </w:tc>
        <w:tc>
          <w:tcPr>
            <w:tcW w:w="764" w:type="dxa"/>
            <w:shd w:val="clear" w:color="auto" w:fill="auto"/>
            <w:vAlign w:val="center"/>
          </w:tcPr>
          <w:p w14:paraId="4FE84268">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39CB20B5">
            <w:pPr>
              <w:pStyle w:val="15"/>
              <w:jc w:val="left"/>
              <w:rPr>
                <w:rFonts w:ascii="宋体" w:hAnsi="宋体"/>
                <w:bCs/>
              </w:rPr>
            </w:pPr>
            <w:r>
              <w:rPr>
                <w:rFonts w:hint="eastAsia" w:ascii="宋体" w:hAnsi="宋体"/>
                <w:bCs/>
                <w:lang w:val="en-US" w:eastAsia="zh-CN"/>
              </w:rPr>
              <w:t>能掌握各种金属材质的不同结构特征和肌理的绘制技法，完成金属款首饰成品手绘表现作品。</w:t>
            </w:r>
          </w:p>
        </w:tc>
      </w:tr>
      <w:tr w14:paraId="07AE79BC">
        <w:trPr>
          <w:trHeight w:val="340" w:hRule="atLeast"/>
          <w:jc w:val="center"/>
        </w:trPr>
        <w:tc>
          <w:tcPr>
            <w:tcW w:w="1206" w:type="dxa"/>
            <w:vMerge w:val="continue"/>
            <w:vAlign w:val="center"/>
          </w:tcPr>
          <w:p w14:paraId="0C55CF64">
            <w:pPr>
              <w:pStyle w:val="15"/>
              <w:rPr>
                <w:rFonts w:ascii="宋体" w:hAnsi="宋体"/>
              </w:rPr>
            </w:pPr>
          </w:p>
        </w:tc>
        <w:tc>
          <w:tcPr>
            <w:tcW w:w="764" w:type="dxa"/>
            <w:shd w:val="clear" w:color="auto" w:fill="auto"/>
            <w:vAlign w:val="center"/>
          </w:tcPr>
          <w:p w14:paraId="2438E8E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6C08082A">
            <w:pPr>
              <w:pStyle w:val="15"/>
              <w:jc w:val="left"/>
              <w:rPr>
                <w:rFonts w:ascii="宋体" w:hAnsi="宋体"/>
                <w:bCs/>
              </w:rPr>
            </w:pPr>
            <w:r>
              <w:rPr>
                <w:rFonts w:hint="eastAsia" w:ascii="宋体" w:hAnsi="宋体"/>
                <w:bCs/>
                <w:lang w:val="en-US" w:eastAsia="zh-CN"/>
              </w:rPr>
              <w:t>能掌握各种镶嵌工艺及综合材料的特征和绘制技法，完成综合类首饰成品手绘表现作品。</w:t>
            </w:r>
          </w:p>
        </w:tc>
      </w:tr>
      <w:tr w14:paraId="7D71FCD1">
        <w:trPr>
          <w:trHeight w:val="340" w:hRule="atLeast"/>
          <w:jc w:val="center"/>
        </w:trPr>
        <w:tc>
          <w:tcPr>
            <w:tcW w:w="1206" w:type="dxa"/>
            <w:vMerge w:val="restart"/>
            <w:vAlign w:val="center"/>
          </w:tcPr>
          <w:p w14:paraId="0A3F7055">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2B59BB63">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63511D5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4BA01C18">
            <w:pPr>
              <w:pStyle w:val="15"/>
              <w:jc w:val="left"/>
              <w:rPr>
                <w:rFonts w:ascii="宋体" w:hAnsi="宋体"/>
                <w:bCs/>
              </w:rPr>
            </w:pPr>
            <w:r>
              <w:rPr>
                <w:rFonts w:hint="eastAsia" w:ascii="宋体" w:hAnsi="宋体"/>
                <w:bCs/>
                <w:lang w:val="en-US" w:eastAsia="zh-CN"/>
              </w:rPr>
              <w:t>在绘图表现过程中能履行设计师职责，勤奋努力、精益求精地完成绘制表现工作，刻画深入精致，一丝不苟。</w:t>
            </w:r>
          </w:p>
        </w:tc>
      </w:tr>
      <w:tr w14:paraId="1DB315B1">
        <w:trPr>
          <w:trHeight w:val="340" w:hRule="atLeast"/>
          <w:jc w:val="center"/>
        </w:trPr>
        <w:tc>
          <w:tcPr>
            <w:tcW w:w="1206" w:type="dxa"/>
            <w:vMerge w:val="continue"/>
            <w:vAlign w:val="center"/>
          </w:tcPr>
          <w:p w14:paraId="5E6DCE0A">
            <w:pPr>
              <w:pStyle w:val="15"/>
              <w:rPr>
                <w:rFonts w:ascii="宋体" w:hAnsi="宋体"/>
              </w:rPr>
            </w:pPr>
          </w:p>
        </w:tc>
        <w:tc>
          <w:tcPr>
            <w:tcW w:w="764" w:type="dxa"/>
            <w:shd w:val="clear" w:color="auto" w:fill="auto"/>
            <w:vAlign w:val="center"/>
          </w:tcPr>
          <w:p w14:paraId="0769B26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5E260BD2">
            <w:pPr>
              <w:pStyle w:val="15"/>
              <w:jc w:val="left"/>
              <w:rPr>
                <w:rFonts w:ascii="宋体" w:hAnsi="宋体"/>
                <w:bCs/>
              </w:rPr>
            </w:pPr>
            <w:r>
              <w:rPr>
                <w:rFonts w:hint="eastAsia" w:ascii="宋体" w:hAnsi="宋体" w:eastAsia="宋体" w:cs="宋体"/>
                <w:bCs/>
                <w:lang w:val="en-US" w:eastAsia="zh-CN"/>
              </w:rPr>
              <w:t>在学习过程中，多看多收集珠宝首饰产品的手绘作品，从设计表现的角度展开剖析，通过大量学习范例的收集整理工作，选择精美图片进行临摹表现。并进一步提高个人审美能力，提高个人发现美、感受美、创造美的素养。</w:t>
            </w:r>
          </w:p>
        </w:tc>
      </w:tr>
    </w:tbl>
    <w:p w14:paraId="242449D7">
      <w:pPr>
        <w:pStyle w:val="18"/>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484"/>
      </w:tblGrid>
      <w:tr w14:paraId="66C29418">
        <w:tc>
          <w:tcPr>
            <w:tcW w:w="8484" w:type="dxa"/>
            <w:vAlign w:val="top"/>
          </w:tcPr>
          <w:p w14:paraId="13990BF1">
            <w:pPr>
              <w:widowControl w:val="0"/>
              <w:tabs>
                <w:tab w:val="left" w:pos="4200"/>
              </w:tabs>
              <w:jc w:val="both"/>
              <w:rPr>
                <w:rFonts w:ascii="宋体" w:hAnsi="宋体" w:eastAsia="宋体" w:cs="宋体"/>
                <w:b w:val="0"/>
                <w:bCs/>
                <w:sz w:val="21"/>
                <w:szCs w:val="21"/>
              </w:rPr>
            </w:pPr>
            <w:r>
              <w:rPr>
                <w:rFonts w:ascii="宋体" w:hAnsi="宋体" w:eastAsia="宋体" w:cs="宋体"/>
                <w:b/>
                <w:sz w:val="21"/>
                <w:szCs w:val="21"/>
              </w:rPr>
              <w:t>LO1品德修养：</w:t>
            </w:r>
            <w:r>
              <w:rPr>
                <w:rFonts w:ascii="宋体" w:hAnsi="宋体" w:eastAsia="宋体" w:cs="宋体"/>
                <w:b w:val="0"/>
                <w:bCs/>
                <w:sz w:val="21"/>
                <w:szCs w:val="21"/>
              </w:rPr>
              <w:t>拥护</w:t>
            </w:r>
            <w:r>
              <w:rPr>
                <w:rFonts w:hint="eastAsia" w:ascii="宋体" w:hAnsi="宋体" w:eastAsia="宋体" w:cs="宋体"/>
                <w:b w:val="0"/>
                <w:bCs/>
                <w:sz w:val="21"/>
                <w:szCs w:val="21"/>
              </w:rPr>
              <w:t>中国共产</w:t>
            </w:r>
            <w:r>
              <w:rPr>
                <w:rFonts w:ascii="宋体" w:hAnsi="宋体" w:eastAsia="宋体" w:cs="宋体"/>
                <w:b w:val="0"/>
                <w:bCs/>
                <w:sz w:val="21"/>
                <w:szCs w:val="21"/>
              </w:rPr>
              <w:t>党的领导，坚定理想信念，自觉涵养和积极弘扬社会主义核心价值观，增强政治认同、厚植家国情怀、遵守法律法规、传承雷锋精神，践行</w:t>
            </w:r>
            <w:r>
              <w:rPr>
                <w:rFonts w:hint="eastAsia" w:ascii="宋体" w:hAnsi="宋体" w:eastAsia="宋体" w:cs="宋体"/>
                <w:b w:val="0"/>
                <w:bCs/>
                <w:sz w:val="21"/>
                <w:szCs w:val="21"/>
              </w:rPr>
              <w:t>“感恩、回报、爱心、责任”</w:t>
            </w:r>
            <w:r>
              <w:rPr>
                <w:rFonts w:ascii="宋体" w:hAnsi="宋体" w:eastAsia="宋体" w:cs="宋体"/>
                <w:b w:val="0"/>
                <w:bCs/>
                <w:sz w:val="21"/>
                <w:szCs w:val="21"/>
              </w:rPr>
              <w:t>八字校训，积极服务他人、服务社会、诚信尽责、爱岗敬业。</w:t>
            </w:r>
          </w:p>
          <w:p w14:paraId="0610966A">
            <w:pPr>
              <w:pStyle w:val="15"/>
              <w:widowControl w:val="0"/>
              <w:jc w:val="left"/>
              <w:rPr>
                <w:rFonts w:hint="eastAsia" w:ascii="宋体" w:hAnsi="宋体"/>
                <w:bCs/>
              </w:rPr>
            </w:pPr>
            <w:r>
              <w:rPr>
                <w:rFonts w:hint="eastAsia"/>
                <w:bCs/>
                <w:sz w:val="21"/>
                <w:szCs w:val="21"/>
              </w:rPr>
              <w:t>④</w:t>
            </w:r>
            <w:r>
              <w:rPr>
                <w:bCs/>
                <w:sz w:val="21"/>
                <w:szCs w:val="21"/>
              </w:rPr>
              <w:t>诚信尽责，为人诚实，信守承诺，勤奋努力，精益求精，勇于担责。</w:t>
            </w:r>
          </w:p>
        </w:tc>
      </w:tr>
      <w:tr w14:paraId="2CF544CE">
        <w:tc>
          <w:tcPr>
            <w:tcW w:w="8484" w:type="dxa"/>
            <w:vAlign w:val="top"/>
          </w:tcPr>
          <w:p w14:paraId="72534B68">
            <w:pPr>
              <w:widowControl w:val="0"/>
              <w:tabs>
                <w:tab w:val="left" w:pos="4200"/>
              </w:tabs>
              <w:spacing w:line="240" w:lineRule="auto"/>
              <w:jc w:val="both"/>
              <w:rPr>
                <w:bCs/>
                <w:sz w:val="21"/>
                <w:szCs w:val="21"/>
              </w:rPr>
            </w:pPr>
            <w:r>
              <w:rPr>
                <w:b/>
                <w:sz w:val="21"/>
                <w:szCs w:val="21"/>
              </w:rPr>
              <w:t>LO2专业能力</w:t>
            </w:r>
            <w:r>
              <w:rPr>
                <w:bCs/>
                <w:sz w:val="21"/>
                <w:szCs w:val="21"/>
              </w:rPr>
              <w:t>：具有人文科学素养，具备从事某项工作或专业的理论知识、实践能力。</w:t>
            </w:r>
          </w:p>
          <w:p w14:paraId="5C937BC5">
            <w:pPr>
              <w:widowControl w:val="0"/>
              <w:tabs>
                <w:tab w:val="left" w:pos="4200"/>
              </w:tabs>
              <w:spacing w:line="240" w:lineRule="auto"/>
              <w:jc w:val="both"/>
              <w:rPr>
                <w:rFonts w:hint="eastAsia"/>
                <w:bCs/>
                <w:sz w:val="21"/>
                <w:szCs w:val="21"/>
              </w:rPr>
            </w:pPr>
            <w:r>
              <w:rPr>
                <w:rFonts w:hint="eastAsia"/>
                <w:bCs/>
                <w:sz w:val="21"/>
                <w:szCs w:val="21"/>
              </w:rPr>
              <w:t>②掌握珠宝首饰设计</w:t>
            </w:r>
            <w:r>
              <w:rPr>
                <w:rFonts w:hint="eastAsia"/>
                <w:bCs/>
                <w:sz w:val="21"/>
                <w:szCs w:val="21"/>
                <w:lang w:eastAsia="zh-Hans"/>
              </w:rPr>
              <w:t>表现的</w:t>
            </w:r>
            <w:r>
              <w:rPr>
                <w:rFonts w:hint="eastAsia"/>
                <w:bCs/>
                <w:sz w:val="21"/>
                <w:szCs w:val="21"/>
              </w:rPr>
              <w:t>基本</w:t>
            </w:r>
            <w:r>
              <w:rPr>
                <w:rFonts w:hint="eastAsia"/>
                <w:bCs/>
                <w:sz w:val="21"/>
                <w:szCs w:val="21"/>
                <w:lang w:eastAsia="zh-Hans"/>
              </w:rPr>
              <w:t>原则</w:t>
            </w:r>
            <w:r>
              <w:rPr>
                <w:rFonts w:hint="eastAsia"/>
                <w:bCs/>
                <w:sz w:val="21"/>
                <w:szCs w:val="21"/>
              </w:rPr>
              <w:t>和方法，具有较强的珠宝首饰设计手绘</w:t>
            </w:r>
            <w:r>
              <w:rPr>
                <w:rFonts w:hint="eastAsia"/>
                <w:bCs/>
                <w:sz w:val="21"/>
                <w:szCs w:val="21"/>
                <w:lang w:eastAsia="zh-Hans"/>
              </w:rPr>
              <w:t>能力</w:t>
            </w:r>
            <w:r>
              <w:rPr>
                <w:rFonts w:hint="eastAsia"/>
                <w:bCs/>
                <w:sz w:val="21"/>
                <w:szCs w:val="21"/>
              </w:rPr>
              <w:t>和计算机绘图能力。</w:t>
            </w:r>
          </w:p>
          <w:p w14:paraId="72DE984A">
            <w:pPr>
              <w:widowControl w:val="0"/>
              <w:tabs>
                <w:tab w:val="left" w:pos="4200"/>
              </w:tabs>
              <w:spacing w:line="240" w:lineRule="auto"/>
              <w:jc w:val="both"/>
              <w:rPr>
                <w:rFonts w:hint="eastAsia" w:ascii="宋体" w:hAnsi="宋体"/>
                <w:bCs/>
              </w:rPr>
            </w:pPr>
            <w:r>
              <w:rPr>
                <w:rFonts w:hint="eastAsia"/>
                <w:bCs/>
                <w:sz w:val="21"/>
                <w:szCs w:val="21"/>
              </w:rPr>
              <w:t>④掌握珠宝玉石材料的性质和用途，掌握珠宝鉴定的基本理论知识，具备珠宝玉石材料的识别鉴定能力。</w:t>
            </w:r>
          </w:p>
        </w:tc>
      </w:tr>
      <w:tr w14:paraId="73638925">
        <w:tc>
          <w:tcPr>
            <w:tcW w:w="8484" w:type="dxa"/>
            <w:vAlign w:val="top"/>
          </w:tcPr>
          <w:p w14:paraId="6FC1698F">
            <w:pPr>
              <w:widowControl w:val="0"/>
              <w:tabs>
                <w:tab w:val="left" w:pos="4200"/>
              </w:tabs>
              <w:spacing w:line="240" w:lineRule="auto"/>
              <w:jc w:val="both"/>
              <w:rPr>
                <w:bCs/>
                <w:sz w:val="21"/>
                <w:szCs w:val="21"/>
              </w:rPr>
            </w:pPr>
            <w:r>
              <w:rPr>
                <w:b/>
                <w:sz w:val="21"/>
                <w:szCs w:val="21"/>
              </w:rPr>
              <w:t>LO5健康发展</w:t>
            </w:r>
            <w:r>
              <w:rPr>
                <w:bCs/>
                <w:sz w:val="21"/>
                <w:szCs w:val="21"/>
              </w:rPr>
              <w:t>：懂得审美、热爱劳动、为人热忱、身心健康、耐挫折，具有可持续发展的能力。</w:t>
            </w:r>
          </w:p>
          <w:p w14:paraId="6F7F72AD">
            <w:pPr>
              <w:widowControl w:val="0"/>
              <w:tabs>
                <w:tab w:val="left" w:pos="4200"/>
              </w:tabs>
              <w:spacing w:line="240" w:lineRule="auto"/>
              <w:jc w:val="both"/>
              <w:rPr>
                <w:rFonts w:hint="eastAsia" w:ascii="宋体" w:hAnsi="宋体"/>
                <w:bCs/>
              </w:rPr>
            </w:pPr>
            <w:r>
              <w:rPr>
                <w:rFonts w:hint="eastAsia"/>
                <w:bCs/>
                <w:sz w:val="21"/>
                <w:szCs w:val="21"/>
              </w:rPr>
              <w:t>③</w:t>
            </w:r>
            <w:r>
              <w:rPr>
                <w:bCs/>
                <w:sz w:val="21"/>
                <w:szCs w:val="21"/>
              </w:rPr>
              <w:t>懂得审美，有发现美、感受美、鉴赏美、评价美、创造美的能力。</w:t>
            </w:r>
          </w:p>
        </w:tc>
      </w:tr>
    </w:tbl>
    <w:p w14:paraId="70C3E2AB">
      <w:pPr>
        <w:pStyle w:val="18"/>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725652D0">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3003E4BE">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5EEC16CF">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5FB6E5A0">
            <w:pPr>
              <w:pStyle w:val="14"/>
              <w:rPr>
                <w:szCs w:val="16"/>
              </w:rPr>
            </w:pPr>
            <w:r>
              <w:rPr>
                <w:rFonts w:hint="eastAsia"/>
                <w:szCs w:val="16"/>
              </w:rPr>
              <w:t>支撑度</w:t>
            </w:r>
          </w:p>
        </w:tc>
        <w:tc>
          <w:tcPr>
            <w:tcW w:w="4763" w:type="dxa"/>
            <w:tcBorders>
              <w:top w:val="single" w:color="auto" w:sz="12" w:space="0"/>
            </w:tcBorders>
            <w:vAlign w:val="center"/>
          </w:tcPr>
          <w:p w14:paraId="0130D049">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14:paraId="16192F26">
            <w:pPr>
              <w:pStyle w:val="14"/>
              <w:rPr>
                <w:szCs w:val="16"/>
              </w:rPr>
            </w:pPr>
            <w:r>
              <w:rPr>
                <w:rFonts w:hint="eastAsia"/>
                <w:szCs w:val="16"/>
              </w:rPr>
              <w:t>对指标点的贡献度</w:t>
            </w:r>
          </w:p>
        </w:tc>
      </w:tr>
      <w:tr w14:paraId="34786789">
        <w:trPr>
          <w:trHeight w:val="90" w:hRule="atLeast"/>
          <w:jc w:val="center"/>
        </w:trPr>
        <w:tc>
          <w:tcPr>
            <w:tcW w:w="777" w:type="dxa"/>
            <w:tcBorders>
              <w:left w:val="single" w:color="auto" w:sz="12" w:space="0"/>
              <w:right w:val="single" w:color="auto" w:sz="4" w:space="0"/>
            </w:tcBorders>
            <w:shd w:val="clear" w:color="auto" w:fill="auto"/>
            <w:vAlign w:val="center"/>
          </w:tcPr>
          <w:p w14:paraId="51404276">
            <w:pPr>
              <w:pStyle w:val="15"/>
            </w:pPr>
            <w:r>
              <w:rPr>
                <w:rFonts w:eastAsia="宋体" w:cs="宋体"/>
                <w:b w:val="0"/>
                <w:bCs/>
                <w:sz w:val="21"/>
                <w:szCs w:val="21"/>
              </w:rPr>
              <w:t>LO1</w:t>
            </w:r>
          </w:p>
        </w:tc>
        <w:tc>
          <w:tcPr>
            <w:tcW w:w="794" w:type="dxa"/>
            <w:tcBorders>
              <w:left w:val="single" w:color="auto" w:sz="4" w:space="0"/>
            </w:tcBorders>
            <w:vAlign w:val="center"/>
          </w:tcPr>
          <w:p w14:paraId="609F02A2">
            <w:pPr>
              <w:pStyle w:val="15"/>
              <w:rPr>
                <w:rFonts w:cs="Times New Roman"/>
                <w:bCs/>
              </w:rPr>
            </w:pPr>
            <w:r>
              <w:rPr>
                <w:rFonts w:hint="eastAsia"/>
                <w:bCs/>
                <w:sz w:val="21"/>
                <w:szCs w:val="21"/>
              </w:rPr>
              <w:t>④</w:t>
            </w:r>
          </w:p>
        </w:tc>
        <w:tc>
          <w:tcPr>
            <w:tcW w:w="794" w:type="dxa"/>
            <w:tcBorders>
              <w:right w:val="double" w:color="auto" w:sz="4" w:space="0"/>
            </w:tcBorders>
            <w:shd w:val="clear" w:color="auto" w:fill="auto"/>
            <w:vAlign w:val="center"/>
          </w:tcPr>
          <w:p w14:paraId="3ED8F9E0">
            <w:pPr>
              <w:pStyle w:val="15"/>
              <w:rPr>
                <w:rFonts w:hint="default" w:ascii="宋体" w:hAnsi="宋体"/>
                <w:lang w:val="en-US"/>
              </w:rPr>
            </w:pPr>
            <w:r>
              <w:rPr>
                <w:rFonts w:hint="default" w:ascii="宋体" w:hAnsi="宋体"/>
                <w:lang w:val="en-US"/>
              </w:rPr>
              <w:t>M</w:t>
            </w:r>
          </w:p>
        </w:tc>
        <w:tc>
          <w:tcPr>
            <w:tcW w:w="4763" w:type="dxa"/>
            <w:vAlign w:val="center"/>
          </w:tcPr>
          <w:p w14:paraId="6FC3CD12">
            <w:pPr>
              <w:pStyle w:val="15"/>
              <w:jc w:val="left"/>
              <w:rPr>
                <w:rFonts w:hint="default" w:ascii="宋体" w:hAnsi="宋体" w:eastAsia="宋体"/>
                <w:bCs/>
                <w:lang w:val="en-US" w:eastAsia="zh-CN"/>
              </w:rPr>
            </w:pPr>
            <w:r>
              <w:rPr>
                <w:rFonts w:hint="eastAsia" w:ascii="宋体" w:hAnsi="宋体"/>
                <w:bCs/>
                <w:lang w:val="en-US" w:eastAsia="zh-CN"/>
              </w:rPr>
              <w:t>5、在绘图表现过程中能履行设计师职责，勤奋努力精益求精的完成绘制表现工作，刻画深入精致，一丝不苟。</w:t>
            </w:r>
          </w:p>
        </w:tc>
        <w:tc>
          <w:tcPr>
            <w:tcW w:w="1348" w:type="dxa"/>
            <w:tcBorders>
              <w:right w:val="single" w:color="auto" w:sz="12" w:space="0"/>
            </w:tcBorders>
            <w:vAlign w:val="center"/>
          </w:tcPr>
          <w:p w14:paraId="76A5AFE7">
            <w:pPr>
              <w:pStyle w:val="15"/>
              <w:rPr>
                <w:rFonts w:hint="default" w:ascii="宋体" w:hAnsi="宋体" w:eastAsia="宋体"/>
                <w:bCs/>
                <w:lang w:val="en-US" w:eastAsia="zh-CN"/>
              </w:rPr>
            </w:pPr>
            <w:r>
              <w:rPr>
                <w:rFonts w:hint="eastAsia" w:ascii="宋体" w:hAnsi="宋体"/>
                <w:bCs/>
                <w:lang w:val="en-US" w:eastAsia="zh-CN"/>
              </w:rPr>
              <w:t>100%</w:t>
            </w:r>
          </w:p>
        </w:tc>
      </w:tr>
      <w:tr w14:paraId="285D420A">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7377334D">
            <w:pPr>
              <w:pStyle w:val="15"/>
            </w:pPr>
            <w:r>
              <w:rPr>
                <w:b w:val="0"/>
                <w:bCs/>
                <w:sz w:val="21"/>
                <w:szCs w:val="21"/>
              </w:rPr>
              <w:t>LO2</w:t>
            </w:r>
          </w:p>
        </w:tc>
        <w:tc>
          <w:tcPr>
            <w:tcW w:w="794" w:type="dxa"/>
            <w:vMerge w:val="restart"/>
            <w:tcBorders>
              <w:left w:val="single" w:color="auto" w:sz="4" w:space="0"/>
            </w:tcBorders>
            <w:vAlign w:val="center"/>
          </w:tcPr>
          <w:p w14:paraId="4FFE16DA">
            <w:pPr>
              <w:pStyle w:val="15"/>
              <w:rPr>
                <w:rFonts w:cs="Times New Roman"/>
                <w:bCs/>
              </w:rPr>
            </w:pPr>
            <w:r>
              <w:rPr>
                <w:rFonts w:hint="eastAsia"/>
                <w:bCs/>
                <w:sz w:val="21"/>
                <w:szCs w:val="21"/>
              </w:rPr>
              <w:t>②</w:t>
            </w:r>
          </w:p>
        </w:tc>
        <w:tc>
          <w:tcPr>
            <w:tcW w:w="794" w:type="dxa"/>
            <w:vMerge w:val="restart"/>
            <w:tcBorders>
              <w:right w:val="double" w:color="auto" w:sz="4" w:space="0"/>
            </w:tcBorders>
            <w:shd w:val="clear" w:color="auto" w:fill="auto"/>
            <w:vAlign w:val="center"/>
          </w:tcPr>
          <w:p w14:paraId="0DD4AA22">
            <w:pPr>
              <w:pStyle w:val="15"/>
              <w:jc w:val="center"/>
            </w:pPr>
            <w:r>
              <w:rPr>
                <w:rFonts w:hint="default" w:ascii="宋体" w:hAnsi="宋体"/>
                <w:lang w:val="en-US"/>
              </w:rPr>
              <w:t>H</w:t>
            </w:r>
          </w:p>
        </w:tc>
        <w:tc>
          <w:tcPr>
            <w:tcW w:w="4763" w:type="dxa"/>
            <w:vAlign w:val="center"/>
          </w:tcPr>
          <w:p w14:paraId="70F27CFE">
            <w:pPr>
              <w:pStyle w:val="15"/>
              <w:jc w:val="left"/>
              <w:rPr>
                <w:rFonts w:hint="default" w:ascii="宋体" w:hAnsi="宋体" w:eastAsia="宋体"/>
                <w:bCs/>
                <w:lang w:val="en-US" w:eastAsia="zh-CN"/>
              </w:rPr>
            </w:pPr>
            <w:r>
              <w:rPr>
                <w:rFonts w:hint="eastAsia" w:ascii="宋体" w:hAnsi="宋体"/>
                <w:bCs/>
                <w:lang w:val="en-US" w:eastAsia="zh-CN"/>
              </w:rPr>
              <w:t>2、能掌握各种宝石的特性和绘制技法，完成以宝石为主体的首饰成品手绘表现作品。</w:t>
            </w:r>
          </w:p>
        </w:tc>
        <w:tc>
          <w:tcPr>
            <w:tcW w:w="1348" w:type="dxa"/>
            <w:tcBorders>
              <w:right w:val="single" w:color="auto" w:sz="12" w:space="0"/>
            </w:tcBorders>
            <w:vAlign w:val="center"/>
          </w:tcPr>
          <w:p w14:paraId="2DAD7C0C">
            <w:pPr>
              <w:pStyle w:val="15"/>
              <w:rPr>
                <w:rFonts w:hint="default" w:ascii="宋体" w:hAnsi="宋体" w:eastAsia="宋体"/>
                <w:bCs/>
                <w:lang w:val="en-US" w:eastAsia="zh-CN"/>
              </w:rPr>
            </w:pPr>
            <w:r>
              <w:rPr>
                <w:rFonts w:hint="eastAsia" w:ascii="宋体" w:hAnsi="宋体"/>
                <w:bCs/>
                <w:lang w:val="en-US" w:eastAsia="zh-CN"/>
              </w:rPr>
              <w:t>35%</w:t>
            </w:r>
          </w:p>
        </w:tc>
      </w:tr>
      <w:tr w14:paraId="21D8501B">
        <w:trPr>
          <w:trHeight w:val="378" w:hRule="atLeast"/>
          <w:jc w:val="center"/>
        </w:trPr>
        <w:tc>
          <w:tcPr>
            <w:tcW w:w="777" w:type="dxa"/>
            <w:vMerge w:val="continue"/>
            <w:tcBorders>
              <w:left w:val="single" w:color="auto" w:sz="12" w:space="0"/>
              <w:right w:val="single" w:color="auto" w:sz="4" w:space="0"/>
            </w:tcBorders>
            <w:shd w:val="clear" w:color="auto" w:fill="auto"/>
            <w:vAlign w:val="center"/>
          </w:tcPr>
          <w:p w14:paraId="6A22DB6E">
            <w:pPr>
              <w:pStyle w:val="15"/>
            </w:pPr>
          </w:p>
        </w:tc>
        <w:tc>
          <w:tcPr>
            <w:tcW w:w="794" w:type="dxa"/>
            <w:vMerge w:val="continue"/>
            <w:tcBorders>
              <w:left w:val="single" w:color="auto" w:sz="4" w:space="0"/>
            </w:tcBorders>
            <w:vAlign w:val="center"/>
          </w:tcPr>
          <w:p w14:paraId="75EA704A">
            <w:pPr>
              <w:pStyle w:val="15"/>
              <w:rPr>
                <w:rFonts w:cs="Times New Roman"/>
                <w:bCs/>
              </w:rPr>
            </w:pPr>
          </w:p>
        </w:tc>
        <w:tc>
          <w:tcPr>
            <w:tcW w:w="794" w:type="dxa"/>
            <w:vMerge w:val="continue"/>
            <w:tcBorders>
              <w:right w:val="double" w:color="auto" w:sz="4" w:space="0"/>
            </w:tcBorders>
            <w:shd w:val="clear" w:color="auto" w:fill="auto"/>
            <w:vAlign w:val="center"/>
          </w:tcPr>
          <w:p w14:paraId="2F375B51">
            <w:pPr>
              <w:pStyle w:val="15"/>
              <w:rPr>
                <w:rFonts w:ascii="宋体" w:hAnsi="宋体"/>
              </w:rPr>
            </w:pPr>
          </w:p>
        </w:tc>
        <w:tc>
          <w:tcPr>
            <w:tcW w:w="4763" w:type="dxa"/>
            <w:vAlign w:val="center"/>
          </w:tcPr>
          <w:p w14:paraId="2CE8EC7A">
            <w:pPr>
              <w:pStyle w:val="15"/>
              <w:jc w:val="left"/>
              <w:rPr>
                <w:rFonts w:hint="eastAsia" w:ascii="宋体" w:hAnsi="宋体"/>
                <w:bCs/>
                <w:lang w:val="en-US" w:eastAsia="zh-CN"/>
              </w:rPr>
            </w:pPr>
            <w:r>
              <w:rPr>
                <w:rFonts w:hint="eastAsia" w:ascii="宋体" w:hAnsi="宋体"/>
                <w:bCs/>
                <w:lang w:val="en-US" w:eastAsia="zh-CN"/>
              </w:rPr>
              <w:t>3、能掌握各种金属材质的不同结构特征和肌理的绘制技法，完成金属款首饰成品手绘表现作品。</w:t>
            </w:r>
          </w:p>
        </w:tc>
        <w:tc>
          <w:tcPr>
            <w:tcW w:w="1348" w:type="dxa"/>
            <w:tcBorders>
              <w:right w:val="single" w:color="auto" w:sz="12" w:space="0"/>
            </w:tcBorders>
            <w:vAlign w:val="center"/>
          </w:tcPr>
          <w:p w14:paraId="2E5592A8">
            <w:pPr>
              <w:pStyle w:val="15"/>
              <w:rPr>
                <w:rFonts w:hint="default" w:ascii="宋体" w:hAnsi="宋体" w:eastAsia="宋体"/>
                <w:bCs/>
                <w:lang w:val="en-US" w:eastAsia="zh-CN"/>
              </w:rPr>
            </w:pPr>
            <w:r>
              <w:rPr>
                <w:rFonts w:hint="eastAsia" w:ascii="宋体" w:hAnsi="宋体"/>
                <w:bCs/>
                <w:lang w:val="en-US" w:eastAsia="zh-CN"/>
              </w:rPr>
              <w:t>35%</w:t>
            </w:r>
          </w:p>
        </w:tc>
      </w:tr>
      <w:tr w14:paraId="56956524">
        <w:trPr>
          <w:trHeight w:val="378" w:hRule="atLeast"/>
          <w:jc w:val="center"/>
        </w:trPr>
        <w:tc>
          <w:tcPr>
            <w:tcW w:w="777" w:type="dxa"/>
            <w:vMerge w:val="continue"/>
            <w:tcBorders>
              <w:left w:val="single" w:color="auto" w:sz="12" w:space="0"/>
              <w:right w:val="single" w:color="auto" w:sz="4" w:space="0"/>
            </w:tcBorders>
            <w:shd w:val="clear" w:color="auto" w:fill="auto"/>
            <w:vAlign w:val="center"/>
          </w:tcPr>
          <w:p w14:paraId="523732BE">
            <w:pPr>
              <w:pStyle w:val="15"/>
              <w:jc w:val="left"/>
            </w:pPr>
          </w:p>
        </w:tc>
        <w:tc>
          <w:tcPr>
            <w:tcW w:w="794" w:type="dxa"/>
            <w:vMerge w:val="continue"/>
            <w:tcBorders>
              <w:left w:val="single" w:color="auto" w:sz="4" w:space="0"/>
            </w:tcBorders>
            <w:vAlign w:val="center"/>
          </w:tcPr>
          <w:p w14:paraId="0A565A8E">
            <w:pPr>
              <w:pStyle w:val="15"/>
              <w:jc w:val="left"/>
            </w:pPr>
          </w:p>
        </w:tc>
        <w:tc>
          <w:tcPr>
            <w:tcW w:w="794" w:type="dxa"/>
            <w:vMerge w:val="continue"/>
            <w:tcBorders>
              <w:right w:val="double" w:color="auto" w:sz="4" w:space="0"/>
            </w:tcBorders>
            <w:shd w:val="clear" w:color="auto" w:fill="auto"/>
            <w:vAlign w:val="center"/>
          </w:tcPr>
          <w:p w14:paraId="3F0CFB2B">
            <w:pPr>
              <w:pStyle w:val="15"/>
              <w:jc w:val="left"/>
            </w:pPr>
          </w:p>
        </w:tc>
        <w:tc>
          <w:tcPr>
            <w:tcW w:w="4763" w:type="dxa"/>
            <w:vAlign w:val="center"/>
          </w:tcPr>
          <w:p w14:paraId="5FCA6BFE">
            <w:pPr>
              <w:pStyle w:val="15"/>
              <w:jc w:val="left"/>
              <w:rPr>
                <w:rFonts w:hint="eastAsia" w:ascii="宋体" w:hAnsi="宋体"/>
                <w:bCs/>
                <w:lang w:val="en-US" w:eastAsia="zh-CN"/>
              </w:rPr>
            </w:pPr>
            <w:r>
              <w:rPr>
                <w:rFonts w:hint="eastAsia" w:ascii="宋体" w:hAnsi="宋体"/>
                <w:bCs/>
                <w:lang w:val="en-US" w:eastAsia="zh-CN"/>
              </w:rPr>
              <w:t>4、能掌握各种镶嵌工艺及综合材料的特征和绘制技法，完成综合类首饰成品手绘表现作品。</w:t>
            </w:r>
          </w:p>
        </w:tc>
        <w:tc>
          <w:tcPr>
            <w:tcW w:w="1348" w:type="dxa"/>
            <w:tcBorders>
              <w:right w:val="single" w:color="auto" w:sz="12" w:space="0"/>
            </w:tcBorders>
            <w:vAlign w:val="center"/>
          </w:tcPr>
          <w:p w14:paraId="0065860A">
            <w:pPr>
              <w:pStyle w:val="15"/>
              <w:jc w:val="center"/>
              <w:rPr>
                <w:rFonts w:hint="default" w:ascii="宋体" w:hAnsi="宋体"/>
                <w:bCs/>
                <w:lang w:val="en-US" w:eastAsia="zh-CN"/>
              </w:rPr>
            </w:pPr>
            <w:r>
              <w:rPr>
                <w:rFonts w:hint="eastAsia" w:ascii="宋体" w:hAnsi="宋体"/>
                <w:bCs/>
                <w:lang w:val="en-US" w:eastAsia="zh-CN"/>
              </w:rPr>
              <w:t>30%</w:t>
            </w:r>
          </w:p>
        </w:tc>
      </w:tr>
      <w:tr w14:paraId="4D74262C">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7C462992">
            <w:pPr>
              <w:pStyle w:val="15"/>
            </w:pPr>
          </w:p>
        </w:tc>
        <w:tc>
          <w:tcPr>
            <w:tcW w:w="794" w:type="dxa"/>
            <w:tcBorders>
              <w:left w:val="single" w:color="auto" w:sz="4" w:space="0"/>
            </w:tcBorders>
            <w:vAlign w:val="center"/>
          </w:tcPr>
          <w:p w14:paraId="0F4BF798">
            <w:pPr>
              <w:pStyle w:val="15"/>
              <w:rPr>
                <w:rFonts w:cs="Times New Roman"/>
                <w:bCs/>
              </w:rPr>
            </w:pPr>
            <w:r>
              <w:rPr>
                <w:rFonts w:hint="eastAsia"/>
                <w:bCs/>
                <w:sz w:val="21"/>
                <w:szCs w:val="21"/>
              </w:rPr>
              <w:t>④</w:t>
            </w:r>
          </w:p>
        </w:tc>
        <w:tc>
          <w:tcPr>
            <w:tcW w:w="794" w:type="dxa"/>
            <w:tcBorders>
              <w:right w:val="double" w:color="auto" w:sz="4" w:space="0"/>
            </w:tcBorders>
            <w:shd w:val="clear" w:color="auto" w:fill="auto"/>
            <w:vAlign w:val="center"/>
          </w:tcPr>
          <w:p w14:paraId="7E885EEA">
            <w:pPr>
              <w:pStyle w:val="15"/>
              <w:rPr>
                <w:rFonts w:ascii="宋体" w:hAnsi="宋体"/>
              </w:rPr>
            </w:pPr>
            <w:r>
              <w:rPr>
                <w:rFonts w:hint="default" w:ascii="宋体" w:hAnsi="宋体"/>
                <w:lang w:val="en-US"/>
              </w:rPr>
              <w:t>M</w:t>
            </w:r>
          </w:p>
        </w:tc>
        <w:tc>
          <w:tcPr>
            <w:tcW w:w="4763" w:type="dxa"/>
            <w:vAlign w:val="center"/>
          </w:tcPr>
          <w:p w14:paraId="0D45C904">
            <w:pPr>
              <w:pStyle w:val="15"/>
              <w:jc w:val="left"/>
              <w:rPr>
                <w:rFonts w:ascii="宋体" w:hAnsi="宋体"/>
                <w:bCs/>
              </w:rPr>
            </w:pPr>
            <w:r>
              <w:rPr>
                <w:rFonts w:hint="eastAsia" w:ascii="宋体" w:hAnsi="宋体"/>
                <w:bCs/>
                <w:lang w:val="en-US" w:eastAsia="zh-CN"/>
              </w:rPr>
              <w:t>1、掌握珠宝首饰中常规出现的各种刻面及弧面宝石的宝石学性质，具备一定的设计表现甄别能力</w:t>
            </w:r>
          </w:p>
        </w:tc>
        <w:tc>
          <w:tcPr>
            <w:tcW w:w="1348" w:type="dxa"/>
            <w:tcBorders>
              <w:right w:val="single" w:color="auto" w:sz="12" w:space="0"/>
            </w:tcBorders>
            <w:vAlign w:val="center"/>
          </w:tcPr>
          <w:p w14:paraId="44C7259E">
            <w:pPr>
              <w:pStyle w:val="15"/>
              <w:rPr>
                <w:rFonts w:hint="default" w:ascii="宋体" w:hAnsi="宋体" w:eastAsia="宋体"/>
                <w:bCs/>
                <w:lang w:val="en-US" w:eastAsia="zh-CN"/>
              </w:rPr>
            </w:pPr>
            <w:r>
              <w:rPr>
                <w:rFonts w:hint="eastAsia" w:ascii="宋体" w:hAnsi="宋体"/>
                <w:bCs/>
                <w:lang w:val="en-US" w:eastAsia="zh-CN"/>
              </w:rPr>
              <w:t>100%</w:t>
            </w:r>
          </w:p>
        </w:tc>
      </w:tr>
      <w:tr w14:paraId="45E18319">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67BA76D4">
            <w:pPr>
              <w:pStyle w:val="15"/>
            </w:pPr>
            <w:r>
              <w:rPr>
                <w:b w:val="0"/>
                <w:bCs/>
                <w:sz w:val="21"/>
                <w:szCs w:val="21"/>
              </w:rPr>
              <w:t>LO5</w:t>
            </w:r>
          </w:p>
        </w:tc>
        <w:tc>
          <w:tcPr>
            <w:tcW w:w="794" w:type="dxa"/>
            <w:tcBorders>
              <w:left w:val="single" w:color="auto" w:sz="4" w:space="0"/>
              <w:bottom w:val="single" w:color="auto" w:sz="12" w:space="0"/>
            </w:tcBorders>
            <w:vAlign w:val="center"/>
          </w:tcPr>
          <w:p w14:paraId="42527BCA">
            <w:pPr>
              <w:pStyle w:val="15"/>
              <w:rPr>
                <w:rFonts w:cs="Times New Roman"/>
                <w:bCs/>
              </w:rPr>
            </w:pPr>
            <w:r>
              <w:rPr>
                <w:rFonts w:hint="eastAsia"/>
                <w:bCs/>
                <w:sz w:val="21"/>
                <w:szCs w:val="21"/>
              </w:rPr>
              <w:t>③</w:t>
            </w:r>
          </w:p>
        </w:tc>
        <w:tc>
          <w:tcPr>
            <w:tcW w:w="794" w:type="dxa"/>
            <w:tcBorders>
              <w:bottom w:val="single" w:color="auto" w:sz="12" w:space="0"/>
              <w:right w:val="double" w:color="auto" w:sz="4" w:space="0"/>
            </w:tcBorders>
            <w:shd w:val="clear" w:color="auto" w:fill="auto"/>
            <w:vAlign w:val="center"/>
          </w:tcPr>
          <w:p w14:paraId="0C40C6E3">
            <w:pPr>
              <w:pStyle w:val="15"/>
              <w:rPr>
                <w:rFonts w:hint="default" w:ascii="宋体" w:hAnsi="宋体"/>
                <w:lang w:val="en-US"/>
              </w:rPr>
            </w:pPr>
            <w:r>
              <w:rPr>
                <w:rFonts w:hint="default" w:ascii="宋体" w:hAnsi="宋体"/>
                <w:lang w:val="en-US"/>
              </w:rPr>
              <w:t>M</w:t>
            </w:r>
          </w:p>
        </w:tc>
        <w:tc>
          <w:tcPr>
            <w:tcW w:w="4763" w:type="dxa"/>
            <w:tcBorders>
              <w:bottom w:val="single" w:color="auto" w:sz="12" w:space="0"/>
            </w:tcBorders>
            <w:vAlign w:val="center"/>
          </w:tcPr>
          <w:p w14:paraId="5B05E1B1">
            <w:pPr>
              <w:pStyle w:val="15"/>
              <w:jc w:val="left"/>
              <w:rPr>
                <w:rFonts w:hint="default" w:ascii="宋体" w:hAnsi="宋体"/>
                <w:bCs/>
                <w:lang w:val="en-US"/>
              </w:rPr>
            </w:pPr>
            <w:r>
              <w:rPr>
                <w:rFonts w:hint="eastAsia" w:ascii="宋体" w:hAnsi="宋体" w:eastAsia="宋体" w:cs="宋体"/>
                <w:bCs/>
                <w:lang w:val="en-US" w:eastAsia="zh-CN"/>
              </w:rPr>
              <w:t>6、在学习过程中，多看多收集珠宝首饰产品的手绘作品，从设计表现的角度展开剖析，通过大量学习范例的收集整理工作，选择精美图片进行临摹表现。并进一步提高个人审美能力，提高个人发现美、感受美、创造美的素养。</w:t>
            </w:r>
          </w:p>
        </w:tc>
        <w:tc>
          <w:tcPr>
            <w:tcW w:w="1348" w:type="dxa"/>
            <w:tcBorders>
              <w:bottom w:val="single" w:color="auto" w:sz="12" w:space="0"/>
              <w:right w:val="single" w:color="auto" w:sz="12" w:space="0"/>
            </w:tcBorders>
            <w:vAlign w:val="center"/>
          </w:tcPr>
          <w:p w14:paraId="35DD32B3">
            <w:pPr>
              <w:pStyle w:val="15"/>
              <w:rPr>
                <w:rFonts w:hint="default" w:ascii="宋体" w:hAnsi="宋体" w:eastAsia="宋体"/>
                <w:bCs/>
                <w:lang w:val="en-US" w:eastAsia="zh-CN"/>
              </w:rPr>
            </w:pPr>
            <w:r>
              <w:rPr>
                <w:rFonts w:hint="eastAsia" w:ascii="宋体" w:hAnsi="宋体"/>
                <w:bCs/>
                <w:lang w:val="en-US" w:eastAsia="zh-CN"/>
              </w:rPr>
              <w:t>100%</w:t>
            </w:r>
          </w:p>
        </w:tc>
      </w:tr>
    </w:tbl>
    <w:p w14:paraId="6B15A7D2">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22F3670D">
      <w:pPr>
        <w:pStyle w:val="18"/>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0CCCB7E3">
        <w:tc>
          <w:tcPr>
            <w:tcW w:w="8296" w:type="dxa"/>
          </w:tcPr>
          <w:p w14:paraId="03F11B88">
            <w:pPr>
              <w:widowControl w:val="0"/>
              <w:jc w:val="both"/>
              <w:rPr>
                <w:rFonts w:hint="eastAsia" w:ascii="宋体" w:hAnsi="宋体"/>
                <w:b/>
                <w:bCs/>
                <w:color w:val="000000" w:themeColor="text1"/>
                <w:sz w:val="22"/>
                <w:szCs w:val="22"/>
                <w14:textFill>
                  <w14:solidFill>
                    <w14:schemeClr w14:val="tx1"/>
                  </w14:solidFill>
                </w14:textFill>
              </w:rPr>
            </w:pPr>
            <w:bookmarkStart w:id="0" w:name="OLE_LINK5"/>
            <w:bookmarkStart w:id="1" w:name="OLE_LINK6"/>
            <w:r>
              <w:rPr>
                <w:rFonts w:hint="eastAsia" w:ascii="宋体" w:hAnsi="宋体"/>
                <w:b/>
                <w:bCs/>
                <w:color w:val="000000" w:themeColor="text1"/>
                <w:sz w:val="22"/>
                <w:szCs w:val="22"/>
                <w14:textFill>
                  <w14:solidFill>
                    <w14:schemeClr w14:val="tx1"/>
                  </w14:solidFill>
                </w14:textFill>
              </w:rPr>
              <w:t>第一</w:t>
            </w:r>
            <w:r>
              <w:rPr>
                <w:rFonts w:hint="eastAsia" w:ascii="宋体" w:hAnsi="宋体"/>
                <w:b/>
                <w:bCs/>
                <w:color w:val="000000" w:themeColor="text1"/>
                <w:sz w:val="22"/>
                <w:szCs w:val="22"/>
                <w:lang w:val="en-US" w:eastAsia="zh-CN"/>
                <w14:textFill>
                  <w14:solidFill>
                    <w14:schemeClr w14:val="tx1"/>
                  </w14:solidFill>
                </w14:textFill>
              </w:rPr>
              <w:t xml:space="preserve">单元 </w:t>
            </w:r>
            <w:r>
              <w:rPr>
                <w:rFonts w:hint="eastAsia" w:ascii="宋体" w:hAnsi="宋体"/>
                <w:b/>
                <w:bCs/>
                <w:color w:val="000000" w:themeColor="text1"/>
                <w:sz w:val="22"/>
                <w:szCs w:val="22"/>
                <w14:textFill>
                  <w14:solidFill>
                    <w14:schemeClr w14:val="tx1"/>
                  </w14:solidFill>
                </w14:textFill>
              </w:rPr>
              <w:t>首饰设计</w:t>
            </w:r>
            <w:r>
              <w:rPr>
                <w:rFonts w:hint="eastAsia"/>
                <w:b/>
                <w:bCs/>
                <w:color w:val="000000" w:themeColor="text1"/>
                <w:sz w:val="22"/>
                <w:szCs w:val="22"/>
                <w:lang w:val="en-US" w:eastAsia="zh-CN"/>
                <w14:textFill>
                  <w14:solidFill>
                    <w14:schemeClr w14:val="tx1"/>
                  </w14:solidFill>
                </w14:textFill>
              </w:rPr>
              <w:t>专业绘图</w:t>
            </w:r>
            <w:r>
              <w:rPr>
                <w:rFonts w:hint="eastAsia" w:ascii="宋体" w:hAnsi="宋体"/>
                <w:b/>
                <w:bCs/>
                <w:color w:val="000000" w:themeColor="text1"/>
                <w:sz w:val="22"/>
                <w:szCs w:val="22"/>
                <w14:textFill>
                  <w14:solidFill>
                    <w14:schemeClr w14:val="tx1"/>
                  </w14:solidFill>
                </w14:textFill>
              </w:rPr>
              <w:t>概论</w:t>
            </w:r>
          </w:p>
          <w:p w14:paraId="1464795A">
            <w:pPr>
              <w:widowControl w:val="0"/>
              <w:jc w:val="both"/>
              <w:rPr>
                <w:rFonts w:ascii="宋体" w:hAnsi="宋体"/>
                <w:bCs/>
                <w:sz w:val="22"/>
                <w:szCs w:val="22"/>
              </w:rPr>
            </w:pPr>
            <w:r>
              <w:rPr>
                <w:rFonts w:hint="eastAsia" w:ascii="宋体" w:hAnsi="宋体"/>
                <w:color w:val="000000" w:themeColor="text1"/>
                <w:sz w:val="22"/>
                <w:szCs w:val="22"/>
                <w:lang w:val="en-US" w:eastAsia="zh-CN"/>
                <w14:textFill>
                  <w14:solidFill>
                    <w14:schemeClr w14:val="tx1"/>
                  </w14:solidFill>
                </w14:textFill>
              </w:rPr>
              <w:t>预期学习成果</w:t>
            </w:r>
            <w:r>
              <w:rPr>
                <w:rFonts w:hint="eastAsia" w:ascii="宋体" w:hAnsi="宋体"/>
                <w:color w:val="000000" w:themeColor="text1"/>
                <w:sz w:val="22"/>
                <w:szCs w:val="22"/>
                <w14:textFill>
                  <w14:solidFill>
                    <w14:schemeClr w14:val="tx1"/>
                  </w14:solidFill>
                </w14:textFill>
              </w:rPr>
              <w:t>：</w:t>
            </w:r>
            <w:r>
              <w:rPr>
                <w:rFonts w:hint="eastAsia" w:ascii="宋体" w:hAnsi="宋体"/>
                <w:color w:val="000000" w:themeColor="text1"/>
                <w:sz w:val="22"/>
                <w:szCs w:val="22"/>
                <w:lang w:val="en-US" w:eastAsia="zh-CN"/>
                <w14:textFill>
                  <w14:solidFill>
                    <w14:schemeClr w14:val="tx1"/>
                  </w14:solidFill>
                </w14:textFill>
              </w:rPr>
              <w:t>掌握</w:t>
            </w:r>
            <w:r>
              <w:rPr>
                <w:rFonts w:hint="eastAsia" w:ascii="宋体" w:hAnsi="宋体"/>
                <w:color w:val="000000" w:themeColor="text1"/>
                <w:sz w:val="22"/>
                <w:szCs w:val="22"/>
                <w14:textFill>
                  <w14:solidFill>
                    <w14:schemeClr w14:val="tx1"/>
                  </w14:solidFill>
                </w14:textFill>
              </w:rPr>
              <w:t>不同上色工具的特性和综合运用的效果表现</w:t>
            </w:r>
          </w:p>
          <w:p w14:paraId="76B8C6CF">
            <w:pPr>
              <w:widowControl w:val="0"/>
              <w:jc w:val="both"/>
              <w:rPr>
                <w:rFonts w:hint="eastAsia" w:ascii="宋体" w:hAnsi="宋体"/>
                <w:color w:val="000000" w:themeColor="text1"/>
                <w:sz w:val="22"/>
                <w:szCs w:val="22"/>
                <w:lang w:val="en-US" w:eastAsia="zh-CN"/>
                <w14:textFill>
                  <w14:solidFill>
                    <w14:schemeClr w14:val="tx1"/>
                  </w14:solidFill>
                </w14:textFill>
              </w:rPr>
            </w:pPr>
            <w:r>
              <w:rPr>
                <w:rFonts w:hint="eastAsia" w:ascii="宋体" w:hAnsi="宋体"/>
                <w:color w:val="000000" w:themeColor="text1"/>
                <w:sz w:val="22"/>
                <w:szCs w:val="22"/>
                <w:lang w:val="en-US" w:eastAsia="zh-CN"/>
                <w14:textFill>
                  <w14:solidFill>
                    <w14:schemeClr w14:val="tx1"/>
                  </w14:solidFill>
                </w14:textFill>
              </w:rPr>
              <w:t>教学内容：</w:t>
            </w:r>
          </w:p>
          <w:p w14:paraId="3102CFFE">
            <w:pPr>
              <w:widowControl w:val="0"/>
              <w:jc w:val="both"/>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1、首饰的定义及分类方法</w:t>
            </w:r>
          </w:p>
          <w:p w14:paraId="47CBEB3B">
            <w:pPr>
              <w:widowControl w:val="0"/>
              <w:jc w:val="both"/>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2、首饰</w:t>
            </w:r>
            <w:r>
              <w:rPr>
                <w:rFonts w:hint="eastAsia" w:ascii="宋体" w:hAnsi="宋体"/>
                <w:color w:val="000000" w:themeColor="text1"/>
                <w:sz w:val="22"/>
                <w:szCs w:val="22"/>
                <w:lang w:val="en-US" w:eastAsia="zh-CN"/>
                <w14:textFill>
                  <w14:solidFill>
                    <w14:schemeClr w14:val="tx1"/>
                  </w14:solidFill>
                </w14:textFill>
              </w:rPr>
              <w:t>产品</w:t>
            </w:r>
            <w:r>
              <w:rPr>
                <w:rFonts w:hint="eastAsia" w:ascii="宋体" w:hAnsi="宋体"/>
                <w:color w:val="000000" w:themeColor="text1"/>
                <w:sz w:val="22"/>
                <w:szCs w:val="22"/>
                <w14:textFill>
                  <w14:solidFill>
                    <w14:schemeClr w14:val="tx1"/>
                  </w14:solidFill>
                </w14:textFill>
              </w:rPr>
              <w:t>设计专业绘图的定义</w:t>
            </w:r>
          </w:p>
          <w:p w14:paraId="192F2394">
            <w:pPr>
              <w:widowControl w:val="0"/>
              <w:jc w:val="both"/>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3、不同工具的使用方法和绘制手法效果展示及应用</w:t>
            </w:r>
          </w:p>
          <w:p w14:paraId="6C9AF934">
            <w:pPr>
              <w:widowControl w:val="0"/>
              <w:jc w:val="both"/>
              <w:rPr>
                <w:rFonts w:hint="default" w:ascii="宋体" w:hAnsi="宋体" w:eastAsia="宋体" w:cs="宋体"/>
                <w:b/>
                <w:bCs/>
                <w:color w:val="000000" w:themeColor="text1"/>
                <w:sz w:val="22"/>
                <w:szCs w:val="22"/>
                <w:lang w:val="en-US"/>
                <w14:textFill>
                  <w14:solidFill>
                    <w14:schemeClr w14:val="tx1"/>
                  </w14:solidFill>
                </w14:textFill>
              </w:rPr>
            </w:pPr>
            <w:r>
              <w:rPr>
                <w:rFonts w:hint="eastAsia" w:ascii="宋体" w:hAnsi="宋体" w:eastAsia="宋体" w:cs="宋体"/>
                <w:b/>
                <w:bCs/>
                <w:color w:val="000000" w:themeColor="text1"/>
                <w:sz w:val="22"/>
                <w:szCs w:val="22"/>
                <w:lang w:val="en-US" w:eastAsia="zh-CN"/>
                <w14:textFill>
                  <w14:solidFill>
                    <w14:schemeClr w14:val="tx1"/>
                  </w14:solidFill>
                </w14:textFill>
              </w:rPr>
              <w:t>第二单元 宝石特性及</w:t>
            </w:r>
            <w:r>
              <w:rPr>
                <w:rFonts w:hint="eastAsia" w:cs="宋体"/>
                <w:b/>
                <w:bCs/>
                <w:color w:val="000000" w:themeColor="text1"/>
                <w:sz w:val="22"/>
                <w:szCs w:val="22"/>
                <w:lang w:val="en-US" w:eastAsia="zh-CN"/>
                <w14:textFill>
                  <w14:solidFill>
                    <w14:schemeClr w14:val="tx1"/>
                  </w14:solidFill>
                </w14:textFill>
              </w:rPr>
              <w:t>手绘表现</w:t>
            </w:r>
          </w:p>
          <w:p w14:paraId="4BC1FA10">
            <w:pPr>
              <w:widowControl w:val="0"/>
              <w:spacing w:line="240" w:lineRule="auto"/>
              <w:ind w:right="-50"/>
              <w:jc w:val="both"/>
              <w:rPr>
                <w:rFonts w:hint="eastAsia" w:ascii="宋体" w:hAnsi="宋体"/>
                <w:color w:val="000000" w:themeColor="text1"/>
                <w:sz w:val="22"/>
                <w:szCs w:val="22"/>
                <w:lang w:val="en-US" w:eastAsia="zh-CN"/>
                <w14:textFill>
                  <w14:solidFill>
                    <w14:schemeClr w14:val="tx1"/>
                  </w14:solidFill>
                </w14:textFill>
              </w:rPr>
            </w:pPr>
            <w:r>
              <w:rPr>
                <w:rFonts w:hint="eastAsia" w:ascii="宋体" w:hAnsi="宋体"/>
                <w:color w:val="000000" w:themeColor="text1"/>
                <w:sz w:val="22"/>
                <w:szCs w:val="22"/>
                <w:lang w:val="en-US" w:eastAsia="zh-CN"/>
                <w14:textFill>
                  <w14:solidFill>
                    <w14:schemeClr w14:val="tx1"/>
                  </w14:solidFill>
                </w14:textFill>
              </w:rPr>
              <w:t>预期学习成果：</w:t>
            </w:r>
          </w:p>
          <w:p w14:paraId="66429318">
            <w:pPr>
              <w:widowControl w:val="0"/>
              <w:spacing w:line="240" w:lineRule="auto"/>
              <w:ind w:right="-50" w:firstLine="440" w:firstLineChars="200"/>
              <w:jc w:val="both"/>
              <w:rPr>
                <w:rFonts w:hint="default" w:asciiTheme="minorEastAsia" w:hAnsiTheme="minorEastAsia" w:eastAsiaTheme="minorEastAsia" w:cstheme="minorEastAsia"/>
                <w:b w:val="0"/>
                <w:bCs/>
                <w:color w:val="000000"/>
                <w:sz w:val="22"/>
                <w:szCs w:val="22"/>
                <w:lang w:val="en-US" w:eastAsia="zh-CN"/>
              </w:rPr>
            </w:pPr>
            <w:r>
              <w:rPr>
                <w:rFonts w:hint="eastAsia" w:asciiTheme="minorEastAsia" w:hAnsiTheme="minorEastAsia" w:eastAsiaTheme="minorEastAsia" w:cstheme="minorEastAsia"/>
                <w:b w:val="0"/>
                <w:bCs/>
                <w:color w:val="000000"/>
                <w:sz w:val="22"/>
                <w:szCs w:val="22"/>
              </w:rPr>
              <w:t>掌握</w:t>
            </w:r>
            <w:r>
              <w:rPr>
                <w:rFonts w:hint="eastAsia" w:asciiTheme="minorEastAsia" w:hAnsiTheme="minorEastAsia" w:eastAsiaTheme="minorEastAsia" w:cstheme="minorEastAsia"/>
                <w:b w:val="0"/>
                <w:bCs/>
                <w:color w:val="000000"/>
                <w:sz w:val="22"/>
                <w:szCs w:val="22"/>
                <w:lang w:val="en-US" w:eastAsia="zh-CN"/>
              </w:rPr>
              <w:t>珠宝首饰产品</w:t>
            </w:r>
            <w:r>
              <w:rPr>
                <w:rFonts w:hint="eastAsia" w:asciiTheme="minorEastAsia" w:hAnsiTheme="minorEastAsia" w:eastAsiaTheme="minorEastAsia" w:cstheme="minorEastAsia"/>
                <w:b w:val="0"/>
                <w:bCs/>
                <w:color w:val="000000"/>
                <w:sz w:val="22"/>
                <w:szCs w:val="22"/>
              </w:rPr>
              <w:t>中刻面宝石不同琢型</w:t>
            </w:r>
            <w:r>
              <w:rPr>
                <w:rFonts w:hint="eastAsia" w:asciiTheme="minorEastAsia" w:hAnsiTheme="minorEastAsia" w:eastAsiaTheme="minorEastAsia" w:cstheme="minorEastAsia"/>
                <w:b w:val="0"/>
                <w:bCs/>
                <w:color w:val="000000"/>
                <w:sz w:val="22"/>
                <w:szCs w:val="22"/>
                <w:lang w:val="en-US" w:eastAsia="zh-CN"/>
              </w:rPr>
              <w:t>及弧面宝石不同宝石特征的表现</w:t>
            </w:r>
            <w:r>
              <w:rPr>
                <w:rFonts w:hint="eastAsia" w:asciiTheme="minorEastAsia" w:hAnsiTheme="minorEastAsia" w:eastAsiaTheme="minorEastAsia" w:cstheme="minorEastAsia"/>
                <w:b w:val="0"/>
                <w:bCs/>
                <w:color w:val="000000"/>
                <w:sz w:val="22"/>
                <w:szCs w:val="22"/>
              </w:rPr>
              <w:t>技法，能够进行彩色</w:t>
            </w:r>
            <w:r>
              <w:rPr>
                <w:rFonts w:hint="eastAsia" w:asciiTheme="minorEastAsia" w:hAnsiTheme="minorEastAsia" w:eastAsiaTheme="minorEastAsia" w:cstheme="minorEastAsia"/>
                <w:b w:val="0"/>
                <w:bCs/>
                <w:color w:val="000000"/>
                <w:sz w:val="22"/>
                <w:szCs w:val="22"/>
                <w:lang w:val="en-US" w:eastAsia="zh-CN"/>
              </w:rPr>
              <w:t>产品绘制表现。</w:t>
            </w:r>
          </w:p>
          <w:p w14:paraId="4667064D">
            <w:pPr>
              <w:widowControl w:val="0"/>
              <w:spacing w:line="240" w:lineRule="auto"/>
              <w:jc w:val="both"/>
              <w:rPr>
                <w:rFonts w:hint="eastAsia" w:ascii="宋体" w:hAnsi="宋体"/>
                <w:color w:val="000000" w:themeColor="text1"/>
                <w:sz w:val="22"/>
                <w:szCs w:val="22"/>
                <w:lang w:val="en-US" w:eastAsia="zh-CN"/>
                <w14:textFill>
                  <w14:solidFill>
                    <w14:schemeClr w14:val="tx1"/>
                  </w14:solidFill>
                </w14:textFill>
              </w:rPr>
            </w:pPr>
            <w:r>
              <w:rPr>
                <w:rFonts w:hint="eastAsia" w:ascii="宋体" w:hAnsi="宋体"/>
                <w:color w:val="000000" w:themeColor="text1"/>
                <w:sz w:val="22"/>
                <w:szCs w:val="22"/>
                <w:lang w:val="en-US" w:eastAsia="zh-CN"/>
                <w14:textFill>
                  <w14:solidFill>
                    <w14:schemeClr w14:val="tx1"/>
                  </w14:solidFill>
                </w14:textFill>
              </w:rPr>
              <w:t>教学内容：</w:t>
            </w:r>
          </w:p>
          <w:p w14:paraId="16948323">
            <w:pPr>
              <w:widowControl w:val="0"/>
              <w:numPr>
                <w:ilvl w:val="0"/>
                <w:numId w:val="0"/>
              </w:numPr>
              <w:spacing w:line="240" w:lineRule="auto"/>
              <w:jc w:val="both"/>
              <w:rPr>
                <w:rFonts w:hint="eastAsia"/>
                <w:b w:val="0"/>
                <w:color w:val="000000"/>
                <w:sz w:val="22"/>
                <w:szCs w:val="22"/>
                <w:lang w:val="en-US" w:eastAsia="zh-CN"/>
              </w:rPr>
            </w:pPr>
            <w:r>
              <w:rPr>
                <w:rFonts w:hint="eastAsia"/>
                <w:b w:val="0"/>
                <w:color w:val="000000"/>
                <w:sz w:val="22"/>
                <w:szCs w:val="22"/>
                <w:lang w:val="en-US" w:eastAsia="zh-CN"/>
              </w:rPr>
              <w:t>1、</w:t>
            </w:r>
            <w:r>
              <w:rPr>
                <w:rFonts w:hint="eastAsia"/>
                <w:b w:val="0"/>
                <w:color w:val="000000"/>
                <w:sz w:val="22"/>
                <w:szCs w:val="22"/>
              </w:rPr>
              <w:t>不同琢形的刻面宝石的刻面线画法和光影的表现原理</w:t>
            </w:r>
          </w:p>
          <w:p w14:paraId="08D1D45D">
            <w:pPr>
              <w:widowControl w:val="0"/>
              <w:numPr>
                <w:ilvl w:val="0"/>
                <w:numId w:val="0"/>
              </w:numPr>
              <w:spacing w:line="240" w:lineRule="auto"/>
              <w:jc w:val="both"/>
              <w:rPr>
                <w:rFonts w:hint="eastAsia"/>
                <w:b w:val="0"/>
                <w:color w:val="000000"/>
                <w:sz w:val="22"/>
                <w:szCs w:val="22"/>
                <w:lang w:val="en-US" w:eastAsia="zh-CN"/>
              </w:rPr>
            </w:pPr>
            <w:r>
              <w:rPr>
                <w:rFonts w:hint="eastAsia"/>
                <w:b w:val="0"/>
                <w:color w:val="000000"/>
                <w:sz w:val="22"/>
                <w:szCs w:val="22"/>
                <w:lang w:val="en-US" w:eastAsia="zh-CN"/>
              </w:rPr>
              <w:t>2、</w:t>
            </w:r>
            <w:r>
              <w:rPr>
                <w:rFonts w:hint="eastAsia"/>
                <w:b w:val="0"/>
                <w:color w:val="000000"/>
                <w:sz w:val="22"/>
                <w:szCs w:val="22"/>
              </w:rPr>
              <w:t>白</w:t>
            </w:r>
            <w:r>
              <w:rPr>
                <w:rFonts w:hint="eastAsia"/>
                <w:b w:val="0"/>
                <w:color w:val="000000"/>
                <w:sz w:val="22"/>
                <w:szCs w:val="22"/>
                <w:lang w:val="en-US" w:eastAsia="zh-CN"/>
              </w:rPr>
              <w:t>色</w:t>
            </w:r>
            <w:r>
              <w:rPr>
                <w:rFonts w:hint="eastAsia"/>
                <w:b w:val="0"/>
                <w:color w:val="000000"/>
                <w:sz w:val="22"/>
                <w:szCs w:val="22"/>
              </w:rPr>
              <w:t>和彩色刻面宝石的不同色彩表现和刻面宝石的火彩表现</w:t>
            </w:r>
            <w:r>
              <w:rPr>
                <w:rFonts w:hint="eastAsia"/>
                <w:b w:val="0"/>
                <w:color w:val="000000"/>
                <w:sz w:val="22"/>
                <w:szCs w:val="22"/>
                <w:lang w:val="en-US" w:eastAsia="zh-CN"/>
              </w:rPr>
              <w:t>方式</w:t>
            </w:r>
          </w:p>
          <w:p w14:paraId="618EEC36">
            <w:pPr>
              <w:widowControl w:val="0"/>
              <w:numPr>
                <w:ilvl w:val="0"/>
                <w:numId w:val="0"/>
              </w:numPr>
              <w:spacing w:line="240" w:lineRule="auto"/>
              <w:jc w:val="both"/>
              <w:rPr>
                <w:rFonts w:hint="eastAsia"/>
                <w:b w:val="0"/>
                <w:bCs w:val="0"/>
                <w:color w:val="000000"/>
                <w:sz w:val="22"/>
                <w:szCs w:val="22"/>
              </w:rPr>
            </w:pPr>
            <w:r>
              <w:rPr>
                <w:rFonts w:hint="eastAsia"/>
                <w:b w:val="0"/>
                <w:color w:val="000000"/>
                <w:sz w:val="22"/>
                <w:szCs w:val="22"/>
                <w:lang w:val="en-US" w:eastAsia="zh-CN"/>
              </w:rPr>
              <w:t>3、</w:t>
            </w:r>
            <w:r>
              <w:rPr>
                <w:rFonts w:hint="eastAsia"/>
                <w:b w:val="0"/>
                <w:color w:val="000000"/>
                <w:sz w:val="22"/>
                <w:szCs w:val="22"/>
              </w:rPr>
              <w:t>不同</w:t>
            </w:r>
            <w:r>
              <w:rPr>
                <w:rFonts w:hint="eastAsia"/>
                <w:b w:val="0"/>
                <w:color w:val="000000"/>
                <w:sz w:val="22"/>
                <w:szCs w:val="22"/>
                <w:lang w:eastAsia="zh-Hans"/>
              </w:rPr>
              <w:t>弧面宝石</w:t>
            </w:r>
            <w:r>
              <w:rPr>
                <w:rFonts w:hint="eastAsia"/>
                <w:b w:val="0"/>
                <w:color w:val="000000"/>
                <w:sz w:val="22"/>
                <w:szCs w:val="22"/>
              </w:rPr>
              <w:t>的</w:t>
            </w:r>
            <w:r>
              <w:rPr>
                <w:rFonts w:hint="eastAsia"/>
                <w:b w:val="0"/>
                <w:color w:val="000000"/>
                <w:sz w:val="22"/>
                <w:szCs w:val="22"/>
                <w:lang w:eastAsia="zh-Hans"/>
              </w:rPr>
              <w:t>透明性原理及宝石颜色和</w:t>
            </w:r>
            <w:r>
              <w:rPr>
                <w:rFonts w:hint="eastAsia"/>
                <w:b w:val="0"/>
                <w:color w:val="000000"/>
                <w:sz w:val="22"/>
                <w:szCs w:val="22"/>
                <w:lang w:val="en-US" w:eastAsia="zh-CN"/>
              </w:rPr>
              <w:t>光学</w:t>
            </w:r>
            <w:r>
              <w:rPr>
                <w:rFonts w:hint="eastAsia"/>
                <w:b w:val="0"/>
                <w:color w:val="000000"/>
                <w:sz w:val="22"/>
                <w:szCs w:val="22"/>
                <w:lang w:eastAsia="zh-Hans"/>
              </w:rPr>
              <w:t>特</w:t>
            </w:r>
            <w:r>
              <w:rPr>
                <w:rFonts w:hint="eastAsia"/>
                <w:b w:val="0"/>
                <w:bCs w:val="0"/>
                <w:color w:val="000000"/>
                <w:sz w:val="22"/>
                <w:szCs w:val="22"/>
                <w:lang w:eastAsia="zh-Hans"/>
              </w:rPr>
              <w:t>征</w:t>
            </w:r>
            <w:r>
              <w:rPr>
                <w:rFonts w:hint="eastAsia"/>
                <w:b w:val="0"/>
                <w:bCs w:val="0"/>
                <w:color w:val="000000"/>
                <w:sz w:val="22"/>
                <w:szCs w:val="22"/>
                <w:lang w:eastAsia="zh-CN"/>
              </w:rPr>
              <w:t>、</w:t>
            </w:r>
            <w:r>
              <w:rPr>
                <w:rFonts w:hint="eastAsia"/>
                <w:b w:val="0"/>
                <w:bCs w:val="0"/>
                <w:color w:val="000000"/>
                <w:sz w:val="22"/>
                <w:szCs w:val="22"/>
                <w:lang w:eastAsia="zh-Hans"/>
              </w:rPr>
              <w:t>光影特点</w:t>
            </w:r>
            <w:r>
              <w:rPr>
                <w:rFonts w:hint="eastAsia"/>
                <w:b w:val="0"/>
                <w:bCs w:val="0"/>
                <w:color w:val="000000"/>
                <w:sz w:val="22"/>
                <w:szCs w:val="22"/>
                <w:lang w:val="en-US" w:eastAsia="zh-CN"/>
              </w:rPr>
              <w:t>的色彩表现，绘制相应作品。</w:t>
            </w:r>
          </w:p>
          <w:p w14:paraId="2A932BE8">
            <w:pPr>
              <w:pStyle w:val="15"/>
              <w:widowControl w:val="0"/>
              <w:jc w:val="left"/>
              <w:rPr>
                <w:rFonts w:hint="default"/>
                <w:b/>
                <w:bCs/>
                <w:color w:val="000000"/>
                <w:sz w:val="22"/>
                <w:szCs w:val="22"/>
                <w:lang w:val="en-US" w:eastAsia="zh-CN"/>
              </w:rPr>
            </w:pPr>
            <w:r>
              <w:rPr>
                <w:rFonts w:hint="eastAsia"/>
                <w:b/>
                <w:bCs/>
                <w:color w:val="000000"/>
                <w:sz w:val="22"/>
                <w:szCs w:val="22"/>
                <w:lang w:val="en-US" w:eastAsia="zh-CN"/>
              </w:rPr>
              <w:t>第三单元 金属特性及手绘表现</w:t>
            </w:r>
          </w:p>
          <w:p w14:paraId="2CB080E5">
            <w:pPr>
              <w:pStyle w:val="15"/>
              <w:widowControl w:val="0"/>
              <w:jc w:val="left"/>
              <w:rPr>
                <w:rFonts w:hint="eastAsia" w:ascii="宋体" w:hAnsi="宋体"/>
                <w:color w:val="000000" w:themeColor="text1"/>
                <w:sz w:val="22"/>
                <w:szCs w:val="22"/>
                <w:lang w:val="en-US" w:eastAsia="zh-CN"/>
                <w14:textFill>
                  <w14:solidFill>
                    <w14:schemeClr w14:val="tx1"/>
                  </w14:solidFill>
                </w14:textFill>
              </w:rPr>
            </w:pPr>
            <w:r>
              <w:rPr>
                <w:rFonts w:hint="eastAsia" w:ascii="宋体" w:hAnsi="宋体"/>
                <w:color w:val="000000" w:themeColor="text1"/>
                <w:sz w:val="22"/>
                <w:szCs w:val="22"/>
                <w:lang w:val="en-US" w:eastAsia="zh-CN"/>
                <w14:textFill>
                  <w14:solidFill>
                    <w14:schemeClr w14:val="tx1"/>
                  </w14:solidFill>
                </w14:textFill>
              </w:rPr>
              <w:t>预期学习成果：</w:t>
            </w:r>
          </w:p>
          <w:p w14:paraId="48B49A3F">
            <w:pPr>
              <w:pStyle w:val="15"/>
              <w:widowControl w:val="0"/>
              <w:ind w:firstLine="440" w:firstLineChars="200"/>
              <w:jc w:val="left"/>
              <w:rPr>
                <w:rFonts w:hint="eastAsia" w:asciiTheme="minorEastAsia" w:hAnsiTheme="minorEastAsia" w:eastAsiaTheme="minorEastAsia" w:cstheme="minorEastAsia"/>
                <w:b w:val="0"/>
                <w:bCs/>
                <w:color w:val="000000"/>
                <w:sz w:val="22"/>
                <w:szCs w:val="22"/>
                <w:lang w:val="en-US" w:eastAsia="zh-CN"/>
              </w:rPr>
            </w:pPr>
            <w:r>
              <w:rPr>
                <w:rFonts w:hint="eastAsia" w:asciiTheme="minorEastAsia" w:hAnsiTheme="minorEastAsia" w:eastAsiaTheme="minorEastAsia" w:cstheme="minorEastAsia"/>
                <w:b w:val="0"/>
                <w:bCs/>
                <w:color w:val="000000"/>
                <w:sz w:val="22"/>
                <w:szCs w:val="22"/>
              </w:rPr>
              <w:t>掌握</w:t>
            </w:r>
            <w:r>
              <w:rPr>
                <w:rFonts w:hint="eastAsia" w:asciiTheme="minorEastAsia" w:hAnsiTheme="minorEastAsia" w:eastAsiaTheme="minorEastAsia" w:cstheme="minorEastAsia"/>
                <w:b w:val="0"/>
                <w:bCs/>
                <w:color w:val="000000"/>
                <w:sz w:val="22"/>
                <w:szCs w:val="22"/>
                <w:lang w:val="en-US" w:eastAsia="zh-CN"/>
              </w:rPr>
              <w:t>珠宝首饰产品</w:t>
            </w:r>
            <w:r>
              <w:rPr>
                <w:rFonts w:hint="eastAsia" w:asciiTheme="minorEastAsia" w:hAnsiTheme="minorEastAsia" w:eastAsiaTheme="minorEastAsia" w:cstheme="minorEastAsia"/>
                <w:b w:val="0"/>
                <w:bCs/>
                <w:color w:val="000000"/>
                <w:sz w:val="22"/>
                <w:szCs w:val="22"/>
              </w:rPr>
              <w:t>中</w:t>
            </w:r>
            <w:r>
              <w:rPr>
                <w:rFonts w:hint="eastAsia" w:asciiTheme="minorEastAsia" w:hAnsiTheme="minorEastAsia" w:eastAsiaTheme="minorEastAsia" w:cstheme="minorEastAsia"/>
                <w:b w:val="0"/>
                <w:bCs/>
                <w:color w:val="000000"/>
                <w:sz w:val="22"/>
                <w:szCs w:val="22"/>
                <w:lang w:val="en-US" w:eastAsia="zh-CN"/>
              </w:rPr>
              <w:t>不同金属结构、颜色、肌理等方面的表现</w:t>
            </w:r>
            <w:r>
              <w:rPr>
                <w:rFonts w:hint="eastAsia" w:asciiTheme="minorEastAsia" w:hAnsiTheme="minorEastAsia" w:eastAsiaTheme="minorEastAsia" w:cstheme="minorEastAsia"/>
                <w:b w:val="0"/>
                <w:bCs/>
                <w:color w:val="000000"/>
                <w:sz w:val="22"/>
                <w:szCs w:val="22"/>
              </w:rPr>
              <w:t>技法，能够进行彩色</w:t>
            </w:r>
            <w:r>
              <w:rPr>
                <w:rFonts w:hint="eastAsia" w:asciiTheme="minorEastAsia" w:hAnsiTheme="minorEastAsia" w:eastAsiaTheme="minorEastAsia" w:cstheme="minorEastAsia"/>
                <w:b w:val="0"/>
                <w:bCs/>
                <w:color w:val="000000"/>
                <w:sz w:val="22"/>
                <w:szCs w:val="22"/>
                <w:lang w:val="en-US" w:eastAsia="zh-CN"/>
              </w:rPr>
              <w:t>产品绘制表现。</w:t>
            </w:r>
          </w:p>
          <w:p w14:paraId="308DD405">
            <w:pPr>
              <w:pStyle w:val="15"/>
              <w:widowControl w:val="0"/>
              <w:jc w:val="left"/>
              <w:rPr>
                <w:rFonts w:hint="eastAsia"/>
                <w:b w:val="0"/>
                <w:color w:val="000000"/>
                <w:sz w:val="22"/>
                <w:szCs w:val="22"/>
                <w:lang w:val="en-US" w:eastAsia="zh-CN"/>
              </w:rPr>
            </w:pPr>
            <w:r>
              <w:rPr>
                <w:rFonts w:hint="eastAsia"/>
                <w:b w:val="0"/>
                <w:color w:val="000000"/>
                <w:sz w:val="22"/>
                <w:szCs w:val="22"/>
                <w:lang w:val="en-US" w:eastAsia="zh-CN"/>
              </w:rPr>
              <w:t>教学内容：</w:t>
            </w:r>
          </w:p>
          <w:p w14:paraId="581A2394">
            <w:pPr>
              <w:pStyle w:val="15"/>
              <w:widowControl w:val="0"/>
              <w:numPr>
                <w:ilvl w:val="0"/>
                <w:numId w:val="1"/>
              </w:numPr>
              <w:jc w:val="left"/>
              <w:rPr>
                <w:rFonts w:hint="eastAsia"/>
                <w:b w:val="0"/>
                <w:color w:val="000000"/>
                <w:sz w:val="22"/>
                <w:szCs w:val="22"/>
                <w:lang w:eastAsia="zh-CN"/>
              </w:rPr>
            </w:pPr>
            <w:r>
              <w:rPr>
                <w:rFonts w:hint="eastAsia"/>
                <w:b w:val="0"/>
                <w:color w:val="000000"/>
                <w:sz w:val="22"/>
                <w:szCs w:val="22"/>
              </w:rPr>
              <w:t>不同</w:t>
            </w:r>
            <w:r>
              <w:rPr>
                <w:rFonts w:hint="eastAsia"/>
                <w:b w:val="0"/>
                <w:color w:val="000000"/>
                <w:sz w:val="22"/>
                <w:szCs w:val="22"/>
                <w:lang w:val="en-US" w:eastAsia="zh-CN"/>
              </w:rPr>
              <w:t>金属结构的结构关系和</w:t>
            </w:r>
            <w:r>
              <w:rPr>
                <w:rFonts w:hint="eastAsia"/>
                <w:b w:val="0"/>
                <w:color w:val="000000"/>
                <w:sz w:val="22"/>
                <w:szCs w:val="22"/>
              </w:rPr>
              <w:t>光影表现原理</w:t>
            </w:r>
            <w:r>
              <w:rPr>
                <w:rFonts w:hint="eastAsia"/>
                <w:b w:val="0"/>
                <w:color w:val="000000"/>
                <w:sz w:val="22"/>
                <w:szCs w:val="22"/>
                <w:lang w:eastAsia="zh-CN"/>
              </w:rPr>
              <w:t>；</w:t>
            </w:r>
          </w:p>
          <w:p w14:paraId="75920514">
            <w:pPr>
              <w:pStyle w:val="15"/>
              <w:widowControl w:val="0"/>
              <w:numPr>
                <w:ilvl w:val="0"/>
                <w:numId w:val="1"/>
              </w:numPr>
              <w:jc w:val="left"/>
              <w:rPr>
                <w:rFonts w:hint="eastAsia" w:asciiTheme="minorEastAsia" w:hAnsiTheme="minorEastAsia" w:eastAsiaTheme="minorEastAsia" w:cstheme="minorEastAsia"/>
                <w:b w:val="0"/>
                <w:bCs/>
                <w:color w:val="000000"/>
                <w:sz w:val="22"/>
                <w:szCs w:val="22"/>
                <w:lang w:val="en-US" w:eastAsia="zh-CN"/>
              </w:rPr>
            </w:pPr>
            <w:r>
              <w:rPr>
                <w:rFonts w:hint="eastAsia"/>
                <w:b w:val="0"/>
                <w:color w:val="000000"/>
                <w:sz w:val="22"/>
                <w:szCs w:val="22"/>
              </w:rPr>
              <w:t>白</w:t>
            </w:r>
            <w:r>
              <w:rPr>
                <w:rFonts w:hint="eastAsia"/>
                <w:b w:val="0"/>
                <w:color w:val="000000"/>
                <w:sz w:val="22"/>
                <w:szCs w:val="22"/>
                <w:lang w:val="en-US" w:eastAsia="zh-CN"/>
              </w:rPr>
              <w:t>色、黄</w:t>
            </w:r>
            <w:r>
              <w:rPr>
                <w:rFonts w:hint="eastAsia"/>
                <w:b w:val="0"/>
                <w:color w:val="000000"/>
                <w:sz w:val="22"/>
                <w:szCs w:val="22"/>
              </w:rPr>
              <w:t>色</w:t>
            </w:r>
            <w:r>
              <w:rPr>
                <w:rFonts w:hint="eastAsia"/>
                <w:b w:val="0"/>
                <w:color w:val="000000"/>
                <w:sz w:val="22"/>
                <w:szCs w:val="22"/>
                <w:lang w:eastAsia="zh-CN"/>
              </w:rPr>
              <w:t>、</w:t>
            </w:r>
            <w:r>
              <w:rPr>
                <w:rFonts w:hint="eastAsia"/>
                <w:b w:val="0"/>
                <w:color w:val="000000"/>
                <w:sz w:val="22"/>
                <w:szCs w:val="22"/>
                <w:lang w:val="en-US" w:eastAsia="zh-CN"/>
              </w:rPr>
              <w:t>橘色、黑色金属的色彩表现</w:t>
            </w:r>
          </w:p>
          <w:p w14:paraId="66CEDCC4">
            <w:pPr>
              <w:pStyle w:val="15"/>
              <w:widowControl w:val="0"/>
              <w:numPr>
                <w:ilvl w:val="0"/>
                <w:numId w:val="1"/>
              </w:numPr>
              <w:ind w:left="0" w:leftChars="0" w:firstLine="0" w:firstLineChars="0"/>
              <w:jc w:val="left"/>
              <w:rPr>
                <w:rFonts w:hint="eastAsia"/>
                <w:b w:val="0"/>
                <w:color w:val="000000"/>
                <w:sz w:val="22"/>
                <w:szCs w:val="22"/>
                <w:lang w:val="en-US" w:eastAsia="zh-CN"/>
              </w:rPr>
            </w:pPr>
            <w:r>
              <w:rPr>
                <w:rFonts w:hint="eastAsia"/>
                <w:b w:val="0"/>
                <w:color w:val="000000"/>
                <w:sz w:val="22"/>
                <w:szCs w:val="22"/>
              </w:rPr>
              <w:t>不同</w:t>
            </w:r>
            <w:r>
              <w:rPr>
                <w:rFonts w:hint="eastAsia"/>
                <w:b w:val="0"/>
                <w:color w:val="000000"/>
                <w:sz w:val="22"/>
                <w:szCs w:val="22"/>
                <w:lang w:val="en-US" w:eastAsia="zh-CN"/>
              </w:rPr>
              <w:t>金属肌理的制作原理、表现效果及运用场合</w:t>
            </w:r>
          </w:p>
          <w:p w14:paraId="12891A98">
            <w:pPr>
              <w:pStyle w:val="15"/>
              <w:widowControl w:val="0"/>
              <w:jc w:val="left"/>
              <w:rPr>
                <w:rFonts w:hint="default" w:eastAsia="宋体" w:cs="宋体"/>
                <w:b/>
                <w:bCs/>
                <w:color w:val="000000"/>
                <w:sz w:val="22"/>
                <w:szCs w:val="22"/>
                <w:lang w:val="en-US" w:eastAsia="zh-CN"/>
              </w:rPr>
            </w:pPr>
            <w:r>
              <w:rPr>
                <w:rFonts w:hint="eastAsia" w:eastAsia="宋体" w:cs="宋体"/>
                <w:b/>
                <w:bCs/>
                <w:color w:val="000000"/>
                <w:sz w:val="22"/>
                <w:szCs w:val="22"/>
                <w:lang w:val="en-US" w:eastAsia="zh-CN"/>
              </w:rPr>
              <w:t>第四单元 镶嵌工艺特性的手绘</w:t>
            </w:r>
            <w:r>
              <w:rPr>
                <w:rFonts w:hint="eastAsia" w:cs="宋体"/>
                <w:b/>
                <w:bCs/>
                <w:color w:val="000000"/>
                <w:sz w:val="22"/>
                <w:szCs w:val="22"/>
                <w:lang w:val="en-US" w:eastAsia="zh-CN"/>
              </w:rPr>
              <w:t>表现</w:t>
            </w:r>
          </w:p>
          <w:p w14:paraId="15A4CC2C">
            <w:pPr>
              <w:widowControl w:val="0"/>
              <w:spacing w:line="240" w:lineRule="auto"/>
              <w:ind w:right="-50"/>
              <w:jc w:val="both"/>
              <w:rPr>
                <w:rFonts w:hint="eastAsia" w:ascii="宋体" w:hAnsi="宋体"/>
                <w:color w:val="000000" w:themeColor="text1"/>
                <w:sz w:val="22"/>
                <w:szCs w:val="22"/>
                <w:lang w:val="en-US" w:eastAsia="zh-CN"/>
                <w14:textFill>
                  <w14:solidFill>
                    <w14:schemeClr w14:val="tx1"/>
                  </w14:solidFill>
                </w14:textFill>
              </w:rPr>
            </w:pPr>
            <w:r>
              <w:rPr>
                <w:rFonts w:hint="eastAsia" w:ascii="宋体" w:hAnsi="宋体"/>
                <w:color w:val="000000" w:themeColor="text1"/>
                <w:sz w:val="22"/>
                <w:szCs w:val="22"/>
                <w:lang w:val="en-US" w:eastAsia="zh-CN"/>
                <w14:textFill>
                  <w14:solidFill>
                    <w14:schemeClr w14:val="tx1"/>
                  </w14:solidFill>
                </w14:textFill>
              </w:rPr>
              <w:t>预期学习成果：</w:t>
            </w:r>
          </w:p>
          <w:p w14:paraId="39525BF4">
            <w:pPr>
              <w:widowControl w:val="0"/>
              <w:spacing w:line="240" w:lineRule="auto"/>
              <w:ind w:left="-50" w:right="-50" w:firstLine="440" w:firstLineChars="200"/>
              <w:jc w:val="both"/>
              <w:rPr>
                <w:rFonts w:hint="default" w:asciiTheme="minorEastAsia" w:hAnsiTheme="minorEastAsia" w:eastAsiaTheme="minorEastAsia" w:cstheme="minorEastAsia"/>
                <w:b w:val="0"/>
                <w:bCs/>
                <w:color w:val="000000"/>
                <w:sz w:val="22"/>
                <w:szCs w:val="22"/>
                <w:lang w:val="en-US" w:eastAsia="zh-CN"/>
              </w:rPr>
            </w:pPr>
            <w:r>
              <w:rPr>
                <w:rFonts w:hint="eastAsia" w:ascii="宋体" w:hAnsi="宋体"/>
                <w:color w:val="000000" w:themeColor="text1"/>
                <w:sz w:val="22"/>
                <w:szCs w:val="22"/>
                <w:lang w:val="en-US" w:eastAsia="zh-CN"/>
                <w14:textFill>
                  <w14:solidFill>
                    <w14:schemeClr w14:val="tx1"/>
                  </w14:solidFill>
                </w14:textFill>
              </w:rPr>
              <w:t xml:space="preserve"> </w:t>
            </w:r>
            <w:r>
              <w:rPr>
                <w:rFonts w:hint="eastAsia" w:asciiTheme="minorEastAsia" w:hAnsiTheme="minorEastAsia" w:eastAsiaTheme="minorEastAsia" w:cstheme="minorEastAsia"/>
                <w:b w:val="0"/>
                <w:bCs/>
                <w:color w:val="000000"/>
                <w:sz w:val="22"/>
                <w:szCs w:val="22"/>
              </w:rPr>
              <w:t>掌握</w:t>
            </w:r>
            <w:r>
              <w:rPr>
                <w:rFonts w:hint="eastAsia" w:asciiTheme="minorEastAsia" w:hAnsiTheme="minorEastAsia" w:eastAsiaTheme="minorEastAsia" w:cstheme="minorEastAsia"/>
                <w:b w:val="0"/>
                <w:bCs/>
                <w:color w:val="000000"/>
                <w:sz w:val="22"/>
                <w:szCs w:val="22"/>
                <w:lang w:val="en-US" w:eastAsia="zh-CN"/>
              </w:rPr>
              <w:t>珠宝首饰产品</w:t>
            </w:r>
            <w:r>
              <w:rPr>
                <w:rFonts w:hint="eastAsia" w:asciiTheme="minorEastAsia" w:hAnsiTheme="minorEastAsia" w:eastAsiaTheme="minorEastAsia" w:cstheme="minorEastAsia"/>
                <w:b w:val="0"/>
                <w:bCs/>
                <w:color w:val="000000"/>
                <w:sz w:val="22"/>
                <w:szCs w:val="22"/>
              </w:rPr>
              <w:t>中</w:t>
            </w:r>
            <w:r>
              <w:rPr>
                <w:rFonts w:hint="eastAsia" w:asciiTheme="minorEastAsia" w:hAnsiTheme="minorEastAsia" w:eastAsiaTheme="minorEastAsia" w:cstheme="minorEastAsia"/>
                <w:b w:val="0"/>
                <w:bCs/>
                <w:color w:val="000000"/>
                <w:sz w:val="22"/>
                <w:szCs w:val="22"/>
                <w:lang w:val="en-US" w:eastAsia="zh-CN"/>
              </w:rPr>
              <w:t>不同镶嵌工艺但工艺原理，并熟练掌握不同镶嵌工艺的运用场合，通过学习手绘表现技法，</w:t>
            </w:r>
            <w:r>
              <w:rPr>
                <w:rFonts w:hint="eastAsia" w:asciiTheme="minorEastAsia" w:hAnsiTheme="minorEastAsia" w:eastAsiaTheme="minorEastAsia" w:cstheme="minorEastAsia"/>
                <w:b w:val="0"/>
                <w:bCs/>
                <w:color w:val="000000"/>
                <w:sz w:val="22"/>
                <w:szCs w:val="22"/>
              </w:rPr>
              <w:t>能够</w:t>
            </w:r>
            <w:r>
              <w:rPr>
                <w:rFonts w:hint="eastAsia" w:asciiTheme="minorEastAsia" w:hAnsiTheme="minorEastAsia" w:eastAsiaTheme="minorEastAsia" w:cstheme="minorEastAsia"/>
                <w:b w:val="0"/>
                <w:bCs/>
                <w:color w:val="000000"/>
                <w:sz w:val="22"/>
                <w:szCs w:val="22"/>
                <w:lang w:val="en-US" w:eastAsia="zh-CN"/>
              </w:rPr>
              <w:t>完成最终的产品绘制表现。</w:t>
            </w:r>
          </w:p>
          <w:p w14:paraId="6D7E92CB">
            <w:pPr>
              <w:widowControl w:val="0"/>
              <w:spacing w:line="240" w:lineRule="auto"/>
              <w:jc w:val="both"/>
              <w:rPr>
                <w:rFonts w:hint="eastAsia" w:ascii="宋体" w:hAnsi="宋体"/>
                <w:color w:val="000000" w:themeColor="text1"/>
                <w:sz w:val="22"/>
                <w:szCs w:val="22"/>
                <w:lang w:val="en-US" w:eastAsia="zh-CN"/>
                <w14:textFill>
                  <w14:solidFill>
                    <w14:schemeClr w14:val="tx1"/>
                  </w14:solidFill>
                </w14:textFill>
              </w:rPr>
            </w:pPr>
            <w:r>
              <w:rPr>
                <w:rFonts w:hint="eastAsia" w:ascii="宋体" w:hAnsi="宋体"/>
                <w:color w:val="000000" w:themeColor="text1"/>
                <w:sz w:val="22"/>
                <w:szCs w:val="22"/>
                <w:lang w:val="en-US" w:eastAsia="zh-CN"/>
                <w14:textFill>
                  <w14:solidFill>
                    <w14:schemeClr w14:val="tx1"/>
                  </w14:solidFill>
                </w14:textFill>
              </w:rPr>
              <w:t>教学内容：</w:t>
            </w:r>
          </w:p>
          <w:p w14:paraId="688F505A">
            <w:pPr>
              <w:widowControl w:val="0"/>
              <w:numPr>
                <w:ilvl w:val="0"/>
                <w:numId w:val="2"/>
              </w:numPr>
              <w:spacing w:line="240" w:lineRule="auto"/>
              <w:jc w:val="both"/>
              <w:rPr>
                <w:rFonts w:hint="eastAsia"/>
                <w:b w:val="0"/>
                <w:color w:val="000000"/>
                <w:sz w:val="22"/>
                <w:szCs w:val="22"/>
                <w:lang w:val="en-US" w:eastAsia="zh-CN"/>
              </w:rPr>
            </w:pPr>
            <w:r>
              <w:rPr>
                <w:rFonts w:hint="eastAsia"/>
                <w:b w:val="0"/>
                <w:color w:val="000000"/>
                <w:sz w:val="22"/>
                <w:szCs w:val="22"/>
              </w:rPr>
              <w:t>不同</w:t>
            </w:r>
            <w:r>
              <w:rPr>
                <w:rFonts w:hint="eastAsia"/>
                <w:b w:val="0"/>
                <w:color w:val="000000"/>
                <w:sz w:val="22"/>
                <w:szCs w:val="22"/>
                <w:lang w:val="en-US" w:eastAsia="zh-CN"/>
              </w:rPr>
              <w:t>镶嵌工艺的工艺流程和镶嵌原理</w:t>
            </w:r>
          </w:p>
          <w:p w14:paraId="253B4333">
            <w:pPr>
              <w:widowControl w:val="0"/>
              <w:numPr>
                <w:ilvl w:val="0"/>
                <w:numId w:val="2"/>
              </w:numPr>
              <w:spacing w:line="240" w:lineRule="auto"/>
              <w:jc w:val="both"/>
              <w:rPr>
                <w:rFonts w:hint="eastAsia"/>
                <w:b w:val="0"/>
                <w:bCs w:val="0"/>
                <w:color w:val="000000"/>
                <w:sz w:val="22"/>
                <w:szCs w:val="22"/>
              </w:rPr>
            </w:pPr>
            <w:r>
              <w:rPr>
                <w:rFonts w:hint="eastAsia"/>
                <w:b w:val="0"/>
                <w:color w:val="000000"/>
                <w:sz w:val="22"/>
                <w:szCs w:val="22"/>
                <w:lang w:val="en-US" w:eastAsia="zh-CN"/>
              </w:rPr>
              <w:t>针对不同类型和结构需求和宝石镶嵌的大小尺寸确定其</w:t>
            </w:r>
            <w:r>
              <w:rPr>
                <w:rFonts w:hint="eastAsia"/>
                <w:b w:val="0"/>
                <w:color w:val="000000"/>
                <w:sz w:val="22"/>
                <w:szCs w:val="22"/>
              </w:rPr>
              <w:t>表现</w:t>
            </w:r>
            <w:r>
              <w:rPr>
                <w:rFonts w:hint="eastAsia"/>
                <w:b w:val="0"/>
                <w:color w:val="000000"/>
                <w:sz w:val="22"/>
                <w:szCs w:val="22"/>
                <w:lang w:val="en-US" w:eastAsia="zh-CN"/>
              </w:rPr>
              <w:t>方式</w:t>
            </w:r>
          </w:p>
          <w:p w14:paraId="191E7CEB">
            <w:pPr>
              <w:widowControl w:val="0"/>
              <w:numPr>
                <w:ilvl w:val="0"/>
                <w:numId w:val="2"/>
              </w:numPr>
              <w:spacing w:line="240" w:lineRule="auto"/>
              <w:jc w:val="both"/>
              <w:rPr>
                <w:rFonts w:hint="eastAsia"/>
                <w:b w:val="0"/>
                <w:bCs w:val="0"/>
                <w:color w:val="000000"/>
                <w:sz w:val="22"/>
                <w:szCs w:val="22"/>
              </w:rPr>
            </w:pPr>
            <w:r>
              <w:rPr>
                <w:rFonts w:hint="eastAsia"/>
                <w:b w:val="0"/>
                <w:color w:val="000000"/>
                <w:sz w:val="22"/>
                <w:szCs w:val="22"/>
                <w:lang w:val="en-US" w:eastAsia="zh-CN"/>
              </w:rPr>
              <w:t>针对铲边镶、密钉镶、轨道镶、隐秘镶的绘制方式进行示范讲解</w:t>
            </w:r>
          </w:p>
          <w:p w14:paraId="365A55FC">
            <w:pPr>
              <w:widowControl w:val="0"/>
              <w:numPr>
                <w:ilvl w:val="0"/>
                <w:numId w:val="0"/>
              </w:numPr>
              <w:spacing w:line="240" w:lineRule="auto"/>
              <w:jc w:val="both"/>
              <w:rPr>
                <w:rFonts w:hint="default"/>
                <w:b w:val="0"/>
                <w:bCs w:val="0"/>
                <w:color w:val="000000"/>
                <w:sz w:val="22"/>
                <w:szCs w:val="22"/>
                <w:lang w:val="en-US"/>
              </w:rPr>
            </w:pPr>
            <w:r>
              <w:rPr>
                <w:rFonts w:hint="eastAsia"/>
                <w:b/>
                <w:bCs/>
                <w:sz w:val="22"/>
                <w:szCs w:val="22"/>
                <w:lang w:val="en-US" w:eastAsia="zh-CN"/>
              </w:rPr>
              <w:t>第五单元 综合材料特性的手绘表现</w:t>
            </w:r>
          </w:p>
          <w:p w14:paraId="3665D850">
            <w:pPr>
              <w:widowControl w:val="0"/>
              <w:spacing w:line="240" w:lineRule="auto"/>
              <w:ind w:right="-50"/>
              <w:jc w:val="both"/>
              <w:rPr>
                <w:rFonts w:hint="eastAsia" w:ascii="宋体" w:hAnsi="宋体"/>
                <w:color w:val="000000" w:themeColor="text1"/>
                <w:sz w:val="22"/>
                <w:szCs w:val="22"/>
                <w:lang w:val="en-US" w:eastAsia="zh-CN"/>
                <w14:textFill>
                  <w14:solidFill>
                    <w14:schemeClr w14:val="tx1"/>
                  </w14:solidFill>
                </w14:textFill>
              </w:rPr>
            </w:pPr>
            <w:r>
              <w:rPr>
                <w:rFonts w:hint="eastAsia" w:ascii="宋体" w:hAnsi="宋体"/>
                <w:color w:val="000000" w:themeColor="text1"/>
                <w:sz w:val="22"/>
                <w:szCs w:val="22"/>
                <w:lang w:val="en-US" w:eastAsia="zh-CN"/>
                <w14:textFill>
                  <w14:solidFill>
                    <w14:schemeClr w14:val="tx1"/>
                  </w14:solidFill>
                </w14:textFill>
              </w:rPr>
              <w:t>预期学习成果：</w:t>
            </w:r>
          </w:p>
          <w:p w14:paraId="5571F770">
            <w:pPr>
              <w:pStyle w:val="15"/>
              <w:widowControl w:val="0"/>
              <w:ind w:firstLine="440" w:firstLineChars="200"/>
              <w:jc w:val="left"/>
              <w:rPr>
                <w:rFonts w:hint="eastAsia" w:asciiTheme="minorEastAsia" w:hAnsiTheme="minorEastAsia" w:eastAsiaTheme="minorEastAsia" w:cstheme="minorEastAsia"/>
                <w:b w:val="0"/>
                <w:bCs/>
                <w:color w:val="000000"/>
                <w:sz w:val="22"/>
                <w:szCs w:val="22"/>
                <w:lang w:eastAsia="zh-CN"/>
              </w:rPr>
            </w:pPr>
            <w:r>
              <w:rPr>
                <w:rFonts w:hint="eastAsia" w:asciiTheme="minorEastAsia" w:hAnsiTheme="minorEastAsia" w:eastAsiaTheme="minorEastAsia" w:cstheme="minorEastAsia"/>
                <w:b w:val="0"/>
                <w:bCs/>
                <w:color w:val="000000"/>
                <w:sz w:val="22"/>
                <w:szCs w:val="22"/>
              </w:rPr>
              <w:t>掌握首饰设计专业绘图中不同综合材料的绘制技法，能够进行综合材料首饰的上色绘制</w:t>
            </w:r>
            <w:r>
              <w:rPr>
                <w:rFonts w:hint="eastAsia" w:asciiTheme="minorEastAsia" w:hAnsiTheme="minorEastAsia" w:eastAsiaTheme="minorEastAsia" w:cstheme="minorEastAsia"/>
                <w:b w:val="0"/>
                <w:bCs/>
                <w:color w:val="000000"/>
                <w:sz w:val="22"/>
                <w:szCs w:val="22"/>
                <w:lang w:eastAsia="zh-CN"/>
              </w:rPr>
              <w:t>。</w:t>
            </w:r>
          </w:p>
          <w:p w14:paraId="0186B6F7">
            <w:pPr>
              <w:widowControl w:val="0"/>
              <w:ind w:right="-50"/>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教学内容：</w:t>
            </w:r>
          </w:p>
          <w:p w14:paraId="2AD74709">
            <w:pPr>
              <w:widowControl w:val="0"/>
              <w:numPr>
                <w:ilvl w:val="0"/>
                <w:numId w:val="3"/>
              </w:numPr>
              <w:ind w:right="-50"/>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可与镶嵌工艺结合的综合材料：贝壳、琉璃（亚克力）、玻璃、陶瓷、木头的物理性质和表面特征</w:t>
            </w:r>
          </w:p>
          <w:p w14:paraId="6BD9FB62">
            <w:pPr>
              <w:widowControl w:val="0"/>
              <w:numPr>
                <w:ilvl w:val="0"/>
                <w:numId w:val="3"/>
              </w:numPr>
              <w:ind w:right="-50"/>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其他工艺类型的材料体现：花丝、珐琅、钛金属氧化的工艺理论知识和绘制表现</w:t>
            </w:r>
          </w:p>
          <w:p w14:paraId="723E77DE">
            <w:pPr>
              <w:widowControl w:val="0"/>
              <w:numPr>
                <w:ilvl w:val="0"/>
                <w:numId w:val="0"/>
              </w:numPr>
              <w:ind w:right="-50" w:rightChars="0"/>
              <w:jc w:val="both"/>
              <w:rPr>
                <w:rFonts w:hint="default"/>
                <w:b/>
                <w:bCs/>
                <w:sz w:val="22"/>
                <w:szCs w:val="22"/>
                <w:lang w:val="en-US" w:eastAsia="zh-CN"/>
              </w:rPr>
            </w:pPr>
            <w:r>
              <w:rPr>
                <w:rFonts w:hint="eastAsia"/>
                <w:b/>
                <w:bCs/>
                <w:sz w:val="22"/>
                <w:szCs w:val="22"/>
                <w:lang w:val="en-US" w:eastAsia="zh-CN"/>
              </w:rPr>
              <w:t>第六单元 珠宝首饰综合手绘表现</w:t>
            </w:r>
          </w:p>
          <w:p w14:paraId="77448503">
            <w:pPr>
              <w:pStyle w:val="15"/>
              <w:widowControl w:val="0"/>
              <w:jc w:val="left"/>
              <w:rPr>
                <w:rFonts w:hint="eastAsia"/>
                <w:sz w:val="22"/>
                <w:szCs w:val="22"/>
                <w:lang w:val="en-US" w:eastAsia="zh-CN"/>
              </w:rPr>
            </w:pPr>
            <w:r>
              <w:rPr>
                <w:rFonts w:hint="eastAsia"/>
                <w:sz w:val="22"/>
                <w:szCs w:val="22"/>
                <w:lang w:val="en-US" w:eastAsia="zh-CN"/>
              </w:rPr>
              <w:t>预期学习成果：</w:t>
            </w:r>
          </w:p>
          <w:p w14:paraId="019D8CA5">
            <w:pPr>
              <w:pStyle w:val="15"/>
              <w:widowControl w:val="0"/>
              <w:ind w:firstLine="420" w:firstLineChars="200"/>
              <w:jc w:val="left"/>
              <w:rPr>
                <w:rFonts w:hint="eastAsia"/>
                <w:sz w:val="21"/>
                <w:szCs w:val="21"/>
                <w:lang w:val="en-US" w:eastAsia="zh-CN"/>
              </w:rPr>
            </w:pPr>
            <w:r>
              <w:rPr>
                <w:rFonts w:hint="eastAsia"/>
                <w:sz w:val="21"/>
                <w:szCs w:val="21"/>
                <w:lang w:val="en-US" w:eastAsia="zh-CN"/>
              </w:rPr>
              <w:t>掌握</w:t>
            </w:r>
            <w:r>
              <w:rPr>
                <w:rFonts w:hint="eastAsia"/>
                <w:sz w:val="21"/>
                <w:szCs w:val="21"/>
              </w:rPr>
              <w:t>首饰设计的形式美法则和平面构成对首饰设计的影响，</w:t>
            </w:r>
            <w:r>
              <w:rPr>
                <w:rFonts w:hint="eastAsia"/>
                <w:sz w:val="21"/>
                <w:szCs w:val="21"/>
                <w:lang w:val="en-US" w:eastAsia="zh-CN"/>
              </w:rPr>
              <w:t>理解</w:t>
            </w:r>
            <w:r>
              <w:rPr>
                <w:rFonts w:hint="eastAsia"/>
                <w:sz w:val="21"/>
                <w:szCs w:val="21"/>
              </w:rPr>
              <w:t>几何要素</w:t>
            </w:r>
            <w:r>
              <w:rPr>
                <w:rFonts w:hint="eastAsia"/>
                <w:sz w:val="21"/>
                <w:szCs w:val="21"/>
                <w:lang w:val="en-US" w:eastAsia="zh-CN"/>
              </w:rPr>
              <w:t>与非几何要素首饰设计</w:t>
            </w:r>
            <w:r>
              <w:rPr>
                <w:rFonts w:hint="eastAsia"/>
                <w:sz w:val="21"/>
                <w:szCs w:val="21"/>
              </w:rPr>
              <w:t>技法，收集设计</w:t>
            </w:r>
            <w:r>
              <w:rPr>
                <w:rFonts w:hint="eastAsia"/>
                <w:sz w:val="21"/>
                <w:szCs w:val="21"/>
                <w:lang w:val="en-US" w:eastAsia="zh-CN"/>
              </w:rPr>
              <w:t>案例，分析设计</w:t>
            </w:r>
            <w:r>
              <w:rPr>
                <w:rFonts w:hint="eastAsia"/>
                <w:sz w:val="21"/>
                <w:szCs w:val="21"/>
              </w:rPr>
              <w:t>素材，进行相应的设计造型和材质表现，完成</w:t>
            </w:r>
            <w:r>
              <w:rPr>
                <w:rFonts w:hint="eastAsia"/>
                <w:sz w:val="21"/>
                <w:szCs w:val="21"/>
                <w:lang w:val="en-US" w:eastAsia="zh-CN"/>
              </w:rPr>
              <w:t>综合手绘表现。</w:t>
            </w:r>
          </w:p>
          <w:p w14:paraId="3F5B25BF">
            <w:pPr>
              <w:pStyle w:val="15"/>
              <w:widowControl w:val="0"/>
              <w:jc w:val="left"/>
              <w:rPr>
                <w:rFonts w:hint="eastAsia"/>
                <w:sz w:val="22"/>
                <w:szCs w:val="22"/>
                <w:lang w:val="en-US" w:eastAsia="zh-CN"/>
              </w:rPr>
            </w:pPr>
            <w:r>
              <w:rPr>
                <w:rFonts w:hint="eastAsia"/>
                <w:sz w:val="22"/>
                <w:szCs w:val="22"/>
                <w:lang w:val="en-US" w:eastAsia="zh-CN"/>
              </w:rPr>
              <w:t>教学内容：</w:t>
            </w:r>
          </w:p>
          <w:p w14:paraId="1DFD2AE3">
            <w:pPr>
              <w:pStyle w:val="15"/>
              <w:widowControl w:val="0"/>
              <w:numPr>
                <w:ilvl w:val="0"/>
                <w:numId w:val="4"/>
              </w:num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首饰设计形式美法则的讲解及案例运用分析</w:t>
            </w:r>
          </w:p>
          <w:p w14:paraId="17FDA5F5">
            <w:pPr>
              <w:pStyle w:val="15"/>
              <w:widowControl w:val="0"/>
              <w:numPr>
                <w:ilvl w:val="0"/>
                <w:numId w:val="4"/>
              </w:num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不同手绘效果的比较与应用场合讲解</w:t>
            </w:r>
          </w:p>
          <w:p w14:paraId="47484011">
            <w:pPr>
              <w:pStyle w:val="15"/>
              <w:widowControl w:val="0"/>
              <w:numPr>
                <w:ilvl w:val="0"/>
                <w:numId w:val="4"/>
              </w:num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综合产品设计表现的表现技法，在构图，背景，绘制材料等角度展开剖析，使学生掌握较强的实物转手绘的产品表现能力。</w:t>
            </w:r>
          </w:p>
          <w:p w14:paraId="23E3D8DB">
            <w:pPr>
              <w:pStyle w:val="15"/>
              <w:widowControl w:val="0"/>
              <w:jc w:val="left"/>
              <w:rPr>
                <w:rFonts w:ascii="仿宋" w:hAnsi="仿宋" w:eastAsia="仿宋" w:cs="仿宋"/>
              </w:rPr>
            </w:pPr>
          </w:p>
        </w:tc>
      </w:tr>
      <w:bookmarkEnd w:id="0"/>
      <w:bookmarkEnd w:id="1"/>
    </w:tbl>
    <w:p w14:paraId="5EC6F441">
      <w:pPr>
        <w:pStyle w:val="18"/>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5BFC2D21">
        <w:trPr>
          <w:trHeight w:val="794" w:hRule="atLeast"/>
          <w:jc w:val="center"/>
        </w:trPr>
        <w:tc>
          <w:tcPr>
            <w:tcW w:w="1834" w:type="dxa"/>
            <w:tcBorders>
              <w:top w:val="single" w:color="auto" w:sz="12" w:space="0"/>
              <w:left w:val="single" w:color="auto" w:sz="12" w:space="0"/>
              <w:tl2br w:val="single" w:color="auto" w:sz="4" w:space="0"/>
            </w:tcBorders>
          </w:tcPr>
          <w:p w14:paraId="6524D0C7">
            <w:pPr>
              <w:pStyle w:val="14"/>
              <w:ind w:firstLine="489"/>
              <w:jc w:val="right"/>
              <w:rPr>
                <w:szCs w:val="16"/>
              </w:rPr>
            </w:pPr>
            <w:r>
              <w:rPr>
                <w:rFonts w:hint="eastAsia"/>
                <w:szCs w:val="16"/>
              </w:rPr>
              <w:t>课程目标</w:t>
            </w:r>
          </w:p>
          <w:p w14:paraId="7288CA64">
            <w:pPr>
              <w:pStyle w:val="14"/>
              <w:ind w:right="210"/>
              <w:jc w:val="left"/>
              <w:rPr>
                <w:rFonts w:hint="eastAsia"/>
                <w:szCs w:val="16"/>
              </w:rPr>
            </w:pPr>
          </w:p>
          <w:p w14:paraId="43AD2921">
            <w:pPr>
              <w:pStyle w:val="14"/>
              <w:ind w:right="210"/>
              <w:jc w:val="left"/>
              <w:rPr>
                <w:szCs w:val="16"/>
              </w:rPr>
            </w:pPr>
            <w:r>
              <w:rPr>
                <w:rFonts w:hint="eastAsia"/>
                <w:szCs w:val="16"/>
              </w:rPr>
              <w:t>教学单元</w:t>
            </w:r>
          </w:p>
        </w:tc>
        <w:tc>
          <w:tcPr>
            <w:tcW w:w="1074" w:type="dxa"/>
            <w:tcBorders>
              <w:top w:val="single" w:color="auto" w:sz="12" w:space="0"/>
            </w:tcBorders>
            <w:vAlign w:val="center"/>
          </w:tcPr>
          <w:p w14:paraId="2F1B1739">
            <w:pPr>
              <w:pStyle w:val="14"/>
              <w:rPr>
                <w:szCs w:val="16"/>
              </w:rPr>
            </w:pPr>
            <w:r>
              <w:rPr>
                <w:rFonts w:hint="eastAsia"/>
                <w:szCs w:val="16"/>
                <w:lang w:val="en-US" w:eastAsia="zh-CN"/>
              </w:rPr>
              <w:t>1</w:t>
            </w:r>
          </w:p>
        </w:tc>
        <w:tc>
          <w:tcPr>
            <w:tcW w:w="1074" w:type="dxa"/>
            <w:tcBorders>
              <w:top w:val="single" w:color="auto" w:sz="12" w:space="0"/>
            </w:tcBorders>
            <w:vAlign w:val="center"/>
          </w:tcPr>
          <w:p w14:paraId="67F4E712">
            <w:pPr>
              <w:pStyle w:val="14"/>
              <w:rPr>
                <w:szCs w:val="16"/>
              </w:rPr>
            </w:pPr>
            <w:r>
              <w:rPr>
                <w:rFonts w:hint="eastAsia"/>
                <w:szCs w:val="16"/>
                <w:lang w:val="en-US" w:eastAsia="zh-CN"/>
              </w:rPr>
              <w:t>2</w:t>
            </w:r>
          </w:p>
        </w:tc>
        <w:tc>
          <w:tcPr>
            <w:tcW w:w="1074" w:type="dxa"/>
            <w:tcBorders>
              <w:top w:val="single" w:color="auto" w:sz="12" w:space="0"/>
            </w:tcBorders>
            <w:vAlign w:val="center"/>
          </w:tcPr>
          <w:p w14:paraId="4EE9B04B">
            <w:pPr>
              <w:pStyle w:val="14"/>
              <w:rPr>
                <w:szCs w:val="16"/>
              </w:rPr>
            </w:pPr>
            <w:r>
              <w:rPr>
                <w:rFonts w:hint="eastAsia"/>
                <w:szCs w:val="16"/>
                <w:lang w:val="en-US" w:eastAsia="zh-CN"/>
              </w:rPr>
              <w:t>3</w:t>
            </w:r>
          </w:p>
        </w:tc>
        <w:tc>
          <w:tcPr>
            <w:tcW w:w="1073" w:type="dxa"/>
            <w:tcBorders>
              <w:top w:val="single" w:color="auto" w:sz="12" w:space="0"/>
            </w:tcBorders>
            <w:vAlign w:val="center"/>
          </w:tcPr>
          <w:p w14:paraId="5FF2EE8B">
            <w:pPr>
              <w:pStyle w:val="14"/>
              <w:rPr>
                <w:szCs w:val="16"/>
              </w:rPr>
            </w:pPr>
            <w:r>
              <w:rPr>
                <w:rFonts w:hint="eastAsia"/>
                <w:szCs w:val="16"/>
                <w:lang w:val="en-US" w:eastAsia="zh-CN"/>
              </w:rPr>
              <w:t>4</w:t>
            </w:r>
          </w:p>
        </w:tc>
        <w:tc>
          <w:tcPr>
            <w:tcW w:w="1073" w:type="dxa"/>
            <w:tcBorders>
              <w:top w:val="single" w:color="auto" w:sz="12" w:space="0"/>
            </w:tcBorders>
            <w:vAlign w:val="center"/>
          </w:tcPr>
          <w:p w14:paraId="57977490">
            <w:pPr>
              <w:pStyle w:val="14"/>
              <w:rPr>
                <w:szCs w:val="16"/>
              </w:rPr>
            </w:pPr>
            <w:r>
              <w:rPr>
                <w:rFonts w:hint="eastAsia"/>
                <w:szCs w:val="16"/>
                <w:lang w:val="en-US" w:eastAsia="zh-CN"/>
              </w:rPr>
              <w:t>5</w:t>
            </w:r>
          </w:p>
        </w:tc>
        <w:tc>
          <w:tcPr>
            <w:tcW w:w="1074" w:type="dxa"/>
            <w:tcBorders>
              <w:top w:val="single" w:color="auto" w:sz="12" w:space="0"/>
              <w:right w:val="single" w:color="auto" w:sz="12" w:space="0"/>
            </w:tcBorders>
            <w:vAlign w:val="center"/>
          </w:tcPr>
          <w:p w14:paraId="118E6364">
            <w:pPr>
              <w:pStyle w:val="14"/>
              <w:rPr>
                <w:szCs w:val="16"/>
              </w:rPr>
            </w:pPr>
            <w:r>
              <w:rPr>
                <w:rFonts w:hint="eastAsia"/>
                <w:szCs w:val="16"/>
                <w:lang w:val="en-US" w:eastAsia="zh-CN"/>
              </w:rPr>
              <w:t>6</w:t>
            </w:r>
          </w:p>
        </w:tc>
      </w:tr>
      <w:tr w14:paraId="6E5C1717">
        <w:trPr>
          <w:trHeight w:val="340" w:hRule="atLeast"/>
          <w:jc w:val="center"/>
        </w:trPr>
        <w:tc>
          <w:tcPr>
            <w:tcW w:w="1834" w:type="dxa"/>
            <w:tcBorders>
              <w:left w:val="single" w:color="auto" w:sz="12" w:space="0"/>
            </w:tcBorders>
            <w:vAlign w:val="center"/>
          </w:tcPr>
          <w:p w14:paraId="477AE54E">
            <w:pPr>
              <w:widowControl w:val="0"/>
              <w:jc w:val="both"/>
              <w:rPr>
                <w:rFonts w:hint="eastAsia"/>
                <w:b w:val="0"/>
                <w:bCs w:val="0"/>
                <w:lang w:val="en-US" w:eastAsia="zh-CN"/>
              </w:rPr>
            </w:pPr>
            <w:r>
              <w:rPr>
                <w:rFonts w:hint="eastAsia" w:ascii="宋体" w:hAnsi="宋体"/>
                <w:b w:val="0"/>
                <w:bCs w:val="0"/>
                <w:color w:val="000000" w:themeColor="text1"/>
                <w:sz w:val="22"/>
                <w:szCs w:val="22"/>
                <w14:textFill>
                  <w14:solidFill>
                    <w14:schemeClr w14:val="tx1"/>
                  </w14:solidFill>
                </w14:textFill>
              </w:rPr>
              <w:t>首饰设计</w:t>
            </w:r>
            <w:r>
              <w:rPr>
                <w:rFonts w:hint="eastAsia"/>
                <w:b w:val="0"/>
                <w:bCs w:val="0"/>
                <w:color w:val="000000" w:themeColor="text1"/>
                <w:sz w:val="22"/>
                <w:szCs w:val="22"/>
                <w:lang w:val="en-US" w:eastAsia="zh-CN"/>
                <w14:textFill>
                  <w14:solidFill>
                    <w14:schemeClr w14:val="tx1"/>
                  </w14:solidFill>
                </w14:textFill>
              </w:rPr>
              <w:t>专业绘图</w:t>
            </w:r>
            <w:r>
              <w:rPr>
                <w:rFonts w:hint="eastAsia" w:ascii="宋体" w:hAnsi="宋体"/>
                <w:b w:val="0"/>
                <w:bCs w:val="0"/>
                <w:color w:val="000000" w:themeColor="text1"/>
                <w:sz w:val="22"/>
                <w:szCs w:val="22"/>
                <w14:textFill>
                  <w14:solidFill>
                    <w14:schemeClr w14:val="tx1"/>
                  </w14:solidFill>
                </w14:textFill>
              </w:rPr>
              <w:t>概论</w:t>
            </w:r>
          </w:p>
        </w:tc>
        <w:tc>
          <w:tcPr>
            <w:tcW w:w="1074" w:type="dxa"/>
            <w:vAlign w:val="center"/>
          </w:tcPr>
          <w:p w14:paraId="05CC7A04">
            <w:pPr>
              <w:pStyle w:val="15"/>
              <w:rPr>
                <w:rFonts w:ascii="Arial" w:hAnsi="Arial" w:cs="Arial"/>
              </w:rPr>
            </w:pPr>
            <w:r>
              <w:rPr>
                <w:rFonts w:ascii="Arial" w:hAnsi="Arial" w:cs="Arial"/>
              </w:rPr>
              <w:t>√</w:t>
            </w:r>
          </w:p>
        </w:tc>
        <w:tc>
          <w:tcPr>
            <w:tcW w:w="1074" w:type="dxa"/>
            <w:vAlign w:val="center"/>
          </w:tcPr>
          <w:p w14:paraId="0D9AF58B">
            <w:pPr>
              <w:pStyle w:val="15"/>
              <w:rPr>
                <w:rFonts w:ascii="Arial" w:hAnsi="Arial" w:cs="Arial"/>
              </w:rPr>
            </w:pPr>
          </w:p>
        </w:tc>
        <w:tc>
          <w:tcPr>
            <w:tcW w:w="1074" w:type="dxa"/>
            <w:vAlign w:val="center"/>
          </w:tcPr>
          <w:p w14:paraId="3992DF90">
            <w:pPr>
              <w:pStyle w:val="15"/>
            </w:pPr>
          </w:p>
        </w:tc>
        <w:tc>
          <w:tcPr>
            <w:tcW w:w="1073" w:type="dxa"/>
            <w:vAlign w:val="center"/>
          </w:tcPr>
          <w:p w14:paraId="34B3CB0B">
            <w:pPr>
              <w:pStyle w:val="15"/>
            </w:pPr>
          </w:p>
        </w:tc>
        <w:tc>
          <w:tcPr>
            <w:tcW w:w="1073" w:type="dxa"/>
            <w:vAlign w:val="center"/>
          </w:tcPr>
          <w:p w14:paraId="6B7E8ACC">
            <w:pPr>
              <w:pStyle w:val="15"/>
              <w:rPr>
                <w:rFonts w:ascii="Arial" w:hAnsi="Arial" w:cs="Arial"/>
              </w:rPr>
            </w:pPr>
          </w:p>
        </w:tc>
        <w:tc>
          <w:tcPr>
            <w:tcW w:w="1074" w:type="dxa"/>
            <w:tcBorders>
              <w:right w:val="single" w:color="auto" w:sz="12" w:space="0"/>
            </w:tcBorders>
            <w:vAlign w:val="center"/>
          </w:tcPr>
          <w:p w14:paraId="7249E2D8">
            <w:pPr>
              <w:pStyle w:val="15"/>
              <w:rPr>
                <w:rFonts w:ascii="Arial" w:hAnsi="Arial" w:cs="Arial"/>
              </w:rPr>
            </w:pPr>
            <w:r>
              <w:rPr>
                <w:rFonts w:ascii="Arial" w:hAnsi="Arial" w:cs="Arial"/>
              </w:rPr>
              <w:t>√</w:t>
            </w:r>
          </w:p>
        </w:tc>
      </w:tr>
      <w:tr w14:paraId="3A7FF5F7">
        <w:trPr>
          <w:trHeight w:val="340" w:hRule="atLeast"/>
          <w:jc w:val="center"/>
        </w:trPr>
        <w:tc>
          <w:tcPr>
            <w:tcW w:w="1834" w:type="dxa"/>
            <w:tcBorders>
              <w:left w:val="single" w:color="auto" w:sz="12" w:space="0"/>
            </w:tcBorders>
            <w:vAlign w:val="center"/>
          </w:tcPr>
          <w:p w14:paraId="285B9804">
            <w:pPr>
              <w:pStyle w:val="15"/>
              <w:rPr>
                <w:b w:val="0"/>
                <w:bCs w:val="0"/>
              </w:rPr>
            </w:pPr>
            <w:r>
              <w:rPr>
                <w:rFonts w:hint="eastAsia" w:ascii="宋体" w:hAnsi="宋体" w:eastAsia="宋体" w:cs="宋体"/>
                <w:b w:val="0"/>
                <w:bCs w:val="0"/>
                <w:color w:val="000000" w:themeColor="text1"/>
                <w:sz w:val="22"/>
                <w:szCs w:val="22"/>
                <w:lang w:val="en-US" w:eastAsia="zh-CN"/>
                <w14:textFill>
                  <w14:solidFill>
                    <w14:schemeClr w14:val="tx1"/>
                  </w14:solidFill>
                </w14:textFill>
              </w:rPr>
              <w:t>宝石特性及</w:t>
            </w:r>
            <w:r>
              <w:rPr>
                <w:rFonts w:hint="eastAsia" w:cs="宋体"/>
                <w:b w:val="0"/>
                <w:bCs w:val="0"/>
                <w:color w:val="000000" w:themeColor="text1"/>
                <w:sz w:val="22"/>
                <w:szCs w:val="22"/>
                <w:lang w:val="en-US" w:eastAsia="zh-CN"/>
                <w14:textFill>
                  <w14:solidFill>
                    <w14:schemeClr w14:val="tx1"/>
                  </w14:solidFill>
                </w14:textFill>
              </w:rPr>
              <w:t>手绘表现</w:t>
            </w:r>
          </w:p>
        </w:tc>
        <w:tc>
          <w:tcPr>
            <w:tcW w:w="1074" w:type="dxa"/>
            <w:vAlign w:val="center"/>
          </w:tcPr>
          <w:p w14:paraId="794341BB">
            <w:pPr>
              <w:pStyle w:val="15"/>
            </w:pPr>
            <w:r>
              <w:rPr>
                <w:rFonts w:ascii="Arial" w:hAnsi="Arial" w:cs="Arial"/>
              </w:rPr>
              <w:t>√</w:t>
            </w:r>
          </w:p>
        </w:tc>
        <w:tc>
          <w:tcPr>
            <w:tcW w:w="1074" w:type="dxa"/>
            <w:vAlign w:val="center"/>
          </w:tcPr>
          <w:p w14:paraId="68DB2E40">
            <w:pPr>
              <w:pStyle w:val="15"/>
            </w:pPr>
            <w:r>
              <w:rPr>
                <w:rFonts w:ascii="Arial" w:hAnsi="Arial" w:cs="Arial"/>
              </w:rPr>
              <w:t>√</w:t>
            </w:r>
          </w:p>
        </w:tc>
        <w:tc>
          <w:tcPr>
            <w:tcW w:w="1074" w:type="dxa"/>
            <w:vAlign w:val="center"/>
          </w:tcPr>
          <w:p w14:paraId="3752FB37">
            <w:pPr>
              <w:pStyle w:val="15"/>
            </w:pPr>
          </w:p>
        </w:tc>
        <w:tc>
          <w:tcPr>
            <w:tcW w:w="1073" w:type="dxa"/>
            <w:vAlign w:val="center"/>
          </w:tcPr>
          <w:p w14:paraId="095D5533">
            <w:pPr>
              <w:pStyle w:val="15"/>
            </w:pPr>
          </w:p>
        </w:tc>
        <w:tc>
          <w:tcPr>
            <w:tcW w:w="1073" w:type="dxa"/>
            <w:vAlign w:val="center"/>
          </w:tcPr>
          <w:p w14:paraId="1BD69A49">
            <w:pPr>
              <w:pStyle w:val="15"/>
            </w:pPr>
            <w:r>
              <w:rPr>
                <w:rFonts w:ascii="Arial" w:hAnsi="Arial" w:cs="Arial"/>
              </w:rPr>
              <w:t>√</w:t>
            </w:r>
          </w:p>
        </w:tc>
        <w:tc>
          <w:tcPr>
            <w:tcW w:w="1074" w:type="dxa"/>
            <w:tcBorders>
              <w:right w:val="single" w:color="auto" w:sz="12" w:space="0"/>
            </w:tcBorders>
            <w:vAlign w:val="center"/>
          </w:tcPr>
          <w:p w14:paraId="5F1938D7">
            <w:pPr>
              <w:pStyle w:val="15"/>
            </w:pPr>
            <w:r>
              <w:rPr>
                <w:rFonts w:ascii="Arial" w:hAnsi="Arial" w:cs="Arial"/>
              </w:rPr>
              <w:t>√</w:t>
            </w:r>
          </w:p>
        </w:tc>
      </w:tr>
      <w:tr w14:paraId="28C3E2D2">
        <w:trPr>
          <w:trHeight w:val="340" w:hRule="atLeast"/>
          <w:jc w:val="center"/>
        </w:trPr>
        <w:tc>
          <w:tcPr>
            <w:tcW w:w="1834" w:type="dxa"/>
            <w:tcBorders>
              <w:left w:val="single" w:color="auto" w:sz="12" w:space="0"/>
            </w:tcBorders>
            <w:vAlign w:val="center"/>
          </w:tcPr>
          <w:p w14:paraId="5439C276">
            <w:pPr>
              <w:pStyle w:val="15"/>
              <w:rPr>
                <w:b w:val="0"/>
                <w:bCs w:val="0"/>
              </w:rPr>
            </w:pPr>
            <w:r>
              <w:rPr>
                <w:rFonts w:hint="eastAsia"/>
                <w:b w:val="0"/>
                <w:bCs w:val="0"/>
                <w:color w:val="000000"/>
                <w:sz w:val="22"/>
                <w:szCs w:val="22"/>
                <w:lang w:val="en-US" w:eastAsia="zh-CN"/>
              </w:rPr>
              <w:t>金属特性及手绘表现</w:t>
            </w:r>
          </w:p>
        </w:tc>
        <w:tc>
          <w:tcPr>
            <w:tcW w:w="1074" w:type="dxa"/>
            <w:vAlign w:val="center"/>
          </w:tcPr>
          <w:p w14:paraId="0C6765E1">
            <w:pPr>
              <w:pStyle w:val="15"/>
            </w:pPr>
          </w:p>
        </w:tc>
        <w:tc>
          <w:tcPr>
            <w:tcW w:w="1074" w:type="dxa"/>
            <w:vAlign w:val="center"/>
          </w:tcPr>
          <w:p w14:paraId="7BD03A4E">
            <w:pPr>
              <w:pStyle w:val="15"/>
            </w:pPr>
          </w:p>
        </w:tc>
        <w:tc>
          <w:tcPr>
            <w:tcW w:w="1074" w:type="dxa"/>
            <w:vAlign w:val="center"/>
          </w:tcPr>
          <w:p w14:paraId="4C73052B">
            <w:pPr>
              <w:pStyle w:val="15"/>
            </w:pPr>
            <w:r>
              <w:rPr>
                <w:rFonts w:ascii="Arial" w:hAnsi="Arial" w:cs="Arial"/>
              </w:rPr>
              <w:t>√</w:t>
            </w:r>
          </w:p>
        </w:tc>
        <w:tc>
          <w:tcPr>
            <w:tcW w:w="1073" w:type="dxa"/>
            <w:vAlign w:val="center"/>
          </w:tcPr>
          <w:p w14:paraId="0F7C9436">
            <w:pPr>
              <w:pStyle w:val="15"/>
            </w:pPr>
          </w:p>
        </w:tc>
        <w:tc>
          <w:tcPr>
            <w:tcW w:w="1073" w:type="dxa"/>
            <w:vAlign w:val="center"/>
          </w:tcPr>
          <w:p w14:paraId="3E3700AF">
            <w:pPr>
              <w:pStyle w:val="15"/>
            </w:pPr>
            <w:r>
              <w:rPr>
                <w:rFonts w:ascii="Arial" w:hAnsi="Arial" w:cs="Arial"/>
              </w:rPr>
              <w:t>√</w:t>
            </w:r>
          </w:p>
        </w:tc>
        <w:tc>
          <w:tcPr>
            <w:tcW w:w="1074" w:type="dxa"/>
            <w:tcBorders>
              <w:right w:val="single" w:color="auto" w:sz="12" w:space="0"/>
            </w:tcBorders>
            <w:vAlign w:val="center"/>
          </w:tcPr>
          <w:p w14:paraId="56A23150">
            <w:pPr>
              <w:pStyle w:val="15"/>
            </w:pPr>
            <w:r>
              <w:rPr>
                <w:rFonts w:ascii="Arial" w:hAnsi="Arial" w:cs="Arial"/>
              </w:rPr>
              <w:t>√</w:t>
            </w:r>
          </w:p>
        </w:tc>
      </w:tr>
      <w:tr w14:paraId="174797E0">
        <w:trPr>
          <w:trHeight w:val="340" w:hRule="atLeast"/>
          <w:jc w:val="center"/>
        </w:trPr>
        <w:tc>
          <w:tcPr>
            <w:tcW w:w="1834" w:type="dxa"/>
            <w:tcBorders>
              <w:left w:val="single" w:color="auto" w:sz="12" w:space="0"/>
            </w:tcBorders>
            <w:vAlign w:val="center"/>
          </w:tcPr>
          <w:p w14:paraId="1164EDDB">
            <w:pPr>
              <w:pStyle w:val="15"/>
              <w:rPr>
                <w:b w:val="0"/>
                <w:bCs w:val="0"/>
              </w:rPr>
            </w:pPr>
            <w:r>
              <w:rPr>
                <w:rFonts w:hint="eastAsia" w:eastAsia="宋体" w:cs="宋体"/>
                <w:b w:val="0"/>
                <w:bCs w:val="0"/>
                <w:color w:val="000000"/>
                <w:sz w:val="22"/>
                <w:szCs w:val="22"/>
                <w:lang w:val="en-US" w:eastAsia="zh-CN"/>
              </w:rPr>
              <w:t>镶嵌工艺特性的手绘</w:t>
            </w:r>
          </w:p>
        </w:tc>
        <w:tc>
          <w:tcPr>
            <w:tcW w:w="1074" w:type="dxa"/>
            <w:vAlign w:val="center"/>
          </w:tcPr>
          <w:p w14:paraId="64D5280F">
            <w:pPr>
              <w:pStyle w:val="15"/>
            </w:pPr>
          </w:p>
        </w:tc>
        <w:tc>
          <w:tcPr>
            <w:tcW w:w="1074" w:type="dxa"/>
            <w:vAlign w:val="center"/>
          </w:tcPr>
          <w:p w14:paraId="3FC2B5EC">
            <w:pPr>
              <w:pStyle w:val="15"/>
            </w:pPr>
          </w:p>
        </w:tc>
        <w:tc>
          <w:tcPr>
            <w:tcW w:w="1074" w:type="dxa"/>
            <w:vAlign w:val="center"/>
          </w:tcPr>
          <w:p w14:paraId="07A752BF">
            <w:pPr>
              <w:pStyle w:val="15"/>
            </w:pPr>
          </w:p>
        </w:tc>
        <w:tc>
          <w:tcPr>
            <w:tcW w:w="1073" w:type="dxa"/>
            <w:vAlign w:val="center"/>
          </w:tcPr>
          <w:p w14:paraId="7833812E">
            <w:pPr>
              <w:pStyle w:val="15"/>
            </w:pPr>
            <w:r>
              <w:rPr>
                <w:rFonts w:ascii="Arial" w:hAnsi="Arial" w:cs="Arial"/>
              </w:rPr>
              <w:t>√</w:t>
            </w:r>
          </w:p>
        </w:tc>
        <w:tc>
          <w:tcPr>
            <w:tcW w:w="1073" w:type="dxa"/>
            <w:vAlign w:val="center"/>
          </w:tcPr>
          <w:p w14:paraId="47546EAF">
            <w:pPr>
              <w:pStyle w:val="15"/>
            </w:pPr>
            <w:r>
              <w:rPr>
                <w:rFonts w:ascii="Arial" w:hAnsi="Arial" w:cs="Arial"/>
              </w:rPr>
              <w:t>√</w:t>
            </w:r>
          </w:p>
        </w:tc>
        <w:tc>
          <w:tcPr>
            <w:tcW w:w="1074" w:type="dxa"/>
            <w:tcBorders>
              <w:right w:val="single" w:color="auto" w:sz="12" w:space="0"/>
            </w:tcBorders>
            <w:vAlign w:val="center"/>
          </w:tcPr>
          <w:p w14:paraId="0CD6C0C4">
            <w:pPr>
              <w:pStyle w:val="15"/>
            </w:pPr>
            <w:r>
              <w:rPr>
                <w:rFonts w:ascii="Arial" w:hAnsi="Arial" w:cs="Arial"/>
              </w:rPr>
              <w:t>√</w:t>
            </w:r>
          </w:p>
        </w:tc>
      </w:tr>
      <w:tr w14:paraId="61AA1019">
        <w:trPr>
          <w:trHeight w:val="340" w:hRule="atLeast"/>
          <w:jc w:val="center"/>
        </w:trPr>
        <w:tc>
          <w:tcPr>
            <w:tcW w:w="1834" w:type="dxa"/>
            <w:tcBorders>
              <w:left w:val="single" w:color="auto" w:sz="12" w:space="0"/>
            </w:tcBorders>
            <w:vAlign w:val="center"/>
          </w:tcPr>
          <w:p w14:paraId="332861E3">
            <w:pPr>
              <w:pStyle w:val="15"/>
              <w:rPr>
                <w:b w:val="0"/>
                <w:bCs w:val="0"/>
              </w:rPr>
            </w:pPr>
            <w:r>
              <w:rPr>
                <w:rFonts w:hint="eastAsia"/>
                <w:b w:val="0"/>
                <w:bCs w:val="0"/>
                <w:sz w:val="22"/>
                <w:szCs w:val="22"/>
                <w:lang w:val="en-US" w:eastAsia="zh-CN"/>
              </w:rPr>
              <w:t xml:space="preserve"> 综合材料特性的手绘表现</w:t>
            </w:r>
          </w:p>
        </w:tc>
        <w:tc>
          <w:tcPr>
            <w:tcW w:w="1074" w:type="dxa"/>
            <w:vAlign w:val="center"/>
          </w:tcPr>
          <w:p w14:paraId="1CDBB8CD">
            <w:pPr>
              <w:pStyle w:val="15"/>
            </w:pPr>
          </w:p>
        </w:tc>
        <w:tc>
          <w:tcPr>
            <w:tcW w:w="1074" w:type="dxa"/>
            <w:vAlign w:val="center"/>
          </w:tcPr>
          <w:p w14:paraId="1A6069B0">
            <w:pPr>
              <w:pStyle w:val="15"/>
            </w:pPr>
          </w:p>
        </w:tc>
        <w:tc>
          <w:tcPr>
            <w:tcW w:w="1074" w:type="dxa"/>
            <w:vAlign w:val="center"/>
          </w:tcPr>
          <w:p w14:paraId="322FD3F6">
            <w:pPr>
              <w:pStyle w:val="15"/>
            </w:pPr>
          </w:p>
        </w:tc>
        <w:tc>
          <w:tcPr>
            <w:tcW w:w="1073" w:type="dxa"/>
            <w:vAlign w:val="center"/>
          </w:tcPr>
          <w:p w14:paraId="5D5FD9CB">
            <w:pPr>
              <w:pStyle w:val="15"/>
            </w:pPr>
            <w:r>
              <w:rPr>
                <w:rFonts w:ascii="Arial" w:hAnsi="Arial" w:cs="Arial"/>
              </w:rPr>
              <w:t>√</w:t>
            </w:r>
          </w:p>
        </w:tc>
        <w:tc>
          <w:tcPr>
            <w:tcW w:w="1073" w:type="dxa"/>
            <w:vAlign w:val="center"/>
          </w:tcPr>
          <w:p w14:paraId="2AD1A937">
            <w:pPr>
              <w:pStyle w:val="15"/>
            </w:pPr>
            <w:r>
              <w:rPr>
                <w:rFonts w:ascii="Arial" w:hAnsi="Arial" w:cs="Arial"/>
              </w:rPr>
              <w:t>√</w:t>
            </w:r>
          </w:p>
        </w:tc>
        <w:tc>
          <w:tcPr>
            <w:tcW w:w="1074" w:type="dxa"/>
            <w:tcBorders>
              <w:right w:val="single" w:color="auto" w:sz="12" w:space="0"/>
            </w:tcBorders>
            <w:vAlign w:val="center"/>
          </w:tcPr>
          <w:p w14:paraId="30563536">
            <w:pPr>
              <w:pStyle w:val="15"/>
            </w:pPr>
            <w:r>
              <w:rPr>
                <w:rFonts w:ascii="Arial" w:hAnsi="Arial" w:cs="Arial"/>
              </w:rPr>
              <w:t>√</w:t>
            </w:r>
          </w:p>
        </w:tc>
      </w:tr>
      <w:tr w14:paraId="6EAA6036">
        <w:trPr>
          <w:trHeight w:val="340" w:hRule="atLeast"/>
          <w:jc w:val="center"/>
        </w:trPr>
        <w:tc>
          <w:tcPr>
            <w:tcW w:w="1834" w:type="dxa"/>
            <w:tcBorders>
              <w:left w:val="single" w:color="auto" w:sz="12" w:space="0"/>
              <w:bottom w:val="single" w:color="auto" w:sz="12" w:space="0"/>
            </w:tcBorders>
            <w:vAlign w:val="center"/>
          </w:tcPr>
          <w:p w14:paraId="248EC469">
            <w:pPr>
              <w:pStyle w:val="15"/>
              <w:rPr>
                <w:b w:val="0"/>
                <w:bCs w:val="0"/>
              </w:rPr>
            </w:pPr>
            <w:r>
              <w:rPr>
                <w:rFonts w:hint="eastAsia"/>
                <w:b w:val="0"/>
                <w:bCs w:val="0"/>
                <w:sz w:val="22"/>
                <w:szCs w:val="22"/>
                <w:lang w:val="en-US" w:eastAsia="zh-CN"/>
              </w:rPr>
              <w:t>珠宝首饰综合手绘表现</w:t>
            </w:r>
          </w:p>
        </w:tc>
        <w:tc>
          <w:tcPr>
            <w:tcW w:w="1074" w:type="dxa"/>
            <w:tcBorders>
              <w:bottom w:val="single" w:color="auto" w:sz="12" w:space="0"/>
            </w:tcBorders>
            <w:vAlign w:val="center"/>
          </w:tcPr>
          <w:p w14:paraId="7E735AF0">
            <w:pPr>
              <w:pStyle w:val="15"/>
              <w:jc w:val="center"/>
            </w:pPr>
            <w:r>
              <w:rPr>
                <w:rFonts w:ascii="Arial" w:hAnsi="Arial" w:cs="Arial"/>
              </w:rPr>
              <w:t>√</w:t>
            </w:r>
          </w:p>
        </w:tc>
        <w:tc>
          <w:tcPr>
            <w:tcW w:w="1074" w:type="dxa"/>
            <w:tcBorders>
              <w:bottom w:val="single" w:color="auto" w:sz="12" w:space="0"/>
            </w:tcBorders>
            <w:vAlign w:val="center"/>
          </w:tcPr>
          <w:p w14:paraId="128691FA">
            <w:pPr>
              <w:jc w:val="center"/>
            </w:pPr>
            <w:r>
              <w:rPr>
                <w:rFonts w:ascii="Arial" w:hAnsi="Arial" w:cs="Arial"/>
              </w:rPr>
              <w:t>√</w:t>
            </w:r>
          </w:p>
        </w:tc>
        <w:tc>
          <w:tcPr>
            <w:tcW w:w="1074" w:type="dxa"/>
            <w:tcBorders>
              <w:bottom w:val="single" w:color="auto" w:sz="12" w:space="0"/>
            </w:tcBorders>
            <w:vAlign w:val="center"/>
          </w:tcPr>
          <w:p w14:paraId="6444F515">
            <w:pPr>
              <w:jc w:val="center"/>
            </w:pPr>
            <w:r>
              <w:rPr>
                <w:rFonts w:ascii="Arial" w:hAnsi="Arial" w:cs="Arial"/>
              </w:rPr>
              <w:t>√</w:t>
            </w:r>
          </w:p>
        </w:tc>
        <w:tc>
          <w:tcPr>
            <w:tcW w:w="1073" w:type="dxa"/>
            <w:tcBorders>
              <w:bottom w:val="single" w:color="auto" w:sz="12" w:space="0"/>
            </w:tcBorders>
            <w:vAlign w:val="center"/>
          </w:tcPr>
          <w:p w14:paraId="0312D177">
            <w:pPr>
              <w:jc w:val="center"/>
            </w:pPr>
            <w:r>
              <w:rPr>
                <w:rFonts w:ascii="Arial" w:hAnsi="Arial" w:cs="Arial"/>
              </w:rPr>
              <w:t>√</w:t>
            </w:r>
          </w:p>
        </w:tc>
        <w:tc>
          <w:tcPr>
            <w:tcW w:w="1073" w:type="dxa"/>
            <w:tcBorders>
              <w:bottom w:val="single" w:color="auto" w:sz="12" w:space="0"/>
            </w:tcBorders>
            <w:vAlign w:val="center"/>
          </w:tcPr>
          <w:p w14:paraId="7D51B716">
            <w:pPr>
              <w:jc w:val="center"/>
            </w:pPr>
            <w:r>
              <w:rPr>
                <w:rFonts w:ascii="Arial" w:hAnsi="Arial" w:cs="Arial"/>
              </w:rPr>
              <w:t>√</w:t>
            </w:r>
          </w:p>
        </w:tc>
        <w:tc>
          <w:tcPr>
            <w:tcW w:w="1074" w:type="dxa"/>
            <w:tcBorders>
              <w:bottom w:val="single" w:color="auto" w:sz="12" w:space="0"/>
              <w:right w:val="single" w:color="auto" w:sz="12" w:space="0"/>
            </w:tcBorders>
            <w:vAlign w:val="center"/>
          </w:tcPr>
          <w:p w14:paraId="7B99AD32">
            <w:pPr>
              <w:jc w:val="center"/>
            </w:pPr>
            <w:r>
              <w:rPr>
                <w:rFonts w:ascii="Arial" w:hAnsi="Arial" w:cs="Arial"/>
              </w:rPr>
              <w:t>√</w:t>
            </w:r>
          </w:p>
        </w:tc>
      </w:tr>
    </w:tbl>
    <w:p w14:paraId="04900695">
      <w:pPr>
        <w:pStyle w:val="18"/>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1FEFC08B">
        <w:trPr>
          <w:trHeight w:val="340" w:hRule="atLeast"/>
          <w:jc w:val="center"/>
        </w:trPr>
        <w:tc>
          <w:tcPr>
            <w:tcW w:w="1828" w:type="dxa"/>
            <w:vMerge w:val="restart"/>
            <w:tcBorders>
              <w:top w:val="single" w:color="auto" w:sz="12" w:space="0"/>
              <w:left w:val="single" w:color="auto" w:sz="12" w:space="0"/>
            </w:tcBorders>
            <w:vAlign w:val="center"/>
          </w:tcPr>
          <w:p w14:paraId="18446F1F">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5DBE2F53">
            <w:pPr>
              <w:pStyle w:val="14"/>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434DEEBC">
            <w:pPr>
              <w:pStyle w:val="14"/>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7AE881F4">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713A0EC7">
        <w:trPr>
          <w:trHeight w:val="340" w:hRule="atLeast"/>
          <w:jc w:val="center"/>
        </w:trPr>
        <w:tc>
          <w:tcPr>
            <w:tcW w:w="1828" w:type="dxa"/>
            <w:vMerge w:val="continue"/>
            <w:tcBorders>
              <w:left w:val="single" w:color="auto" w:sz="12" w:space="0"/>
            </w:tcBorders>
          </w:tcPr>
          <w:p w14:paraId="4528E2DE">
            <w:pPr>
              <w:widowControl w:val="0"/>
              <w:snapToGrid w:val="0"/>
              <w:jc w:val="center"/>
              <w:rPr>
                <w:rFonts w:ascii="黑体" w:hAnsi="黑体" w:eastAsia="黑体"/>
                <w:bCs/>
                <w:sz w:val="21"/>
                <w:szCs w:val="21"/>
              </w:rPr>
            </w:pPr>
          </w:p>
        </w:tc>
        <w:tc>
          <w:tcPr>
            <w:tcW w:w="2690" w:type="dxa"/>
            <w:vMerge w:val="continue"/>
          </w:tcPr>
          <w:p w14:paraId="31A73C48">
            <w:pPr>
              <w:widowControl w:val="0"/>
              <w:snapToGrid w:val="0"/>
              <w:jc w:val="center"/>
              <w:rPr>
                <w:rFonts w:ascii="黑体" w:hAnsi="黑体" w:eastAsia="黑体"/>
                <w:bCs/>
                <w:sz w:val="21"/>
                <w:szCs w:val="21"/>
              </w:rPr>
            </w:pPr>
          </w:p>
        </w:tc>
        <w:tc>
          <w:tcPr>
            <w:tcW w:w="1697" w:type="dxa"/>
            <w:vMerge w:val="continue"/>
          </w:tcPr>
          <w:p w14:paraId="6515D12B">
            <w:pPr>
              <w:widowControl w:val="0"/>
              <w:snapToGrid w:val="0"/>
              <w:jc w:val="center"/>
              <w:rPr>
                <w:rFonts w:ascii="黑体" w:hAnsi="黑体" w:eastAsia="黑体"/>
                <w:bCs/>
                <w:sz w:val="21"/>
                <w:szCs w:val="21"/>
              </w:rPr>
            </w:pPr>
          </w:p>
        </w:tc>
        <w:tc>
          <w:tcPr>
            <w:tcW w:w="708" w:type="dxa"/>
            <w:vAlign w:val="center"/>
          </w:tcPr>
          <w:p w14:paraId="286C1901">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5CACE937">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54EA84E6">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2E9C754E">
        <w:trPr>
          <w:trHeight w:val="454" w:hRule="atLeast"/>
          <w:jc w:val="center"/>
        </w:trPr>
        <w:tc>
          <w:tcPr>
            <w:tcW w:w="1828" w:type="dxa"/>
            <w:tcBorders>
              <w:left w:val="single" w:color="auto" w:sz="12" w:space="0"/>
            </w:tcBorders>
            <w:vAlign w:val="center"/>
          </w:tcPr>
          <w:p w14:paraId="66D73A0C">
            <w:pPr>
              <w:widowControl w:val="0"/>
              <w:jc w:val="both"/>
              <w:rPr>
                <w:rFonts w:ascii="Times New Roman" w:hAnsi="Times New Roman"/>
                <w:b w:val="0"/>
                <w:bCs w:val="0"/>
                <w:sz w:val="21"/>
                <w:szCs w:val="21"/>
              </w:rPr>
            </w:pPr>
            <w:r>
              <w:rPr>
                <w:rFonts w:hint="eastAsia" w:ascii="宋体" w:hAnsi="宋体"/>
                <w:b w:val="0"/>
                <w:bCs w:val="0"/>
                <w:color w:val="000000" w:themeColor="text1"/>
                <w:sz w:val="22"/>
                <w:szCs w:val="22"/>
                <w14:textFill>
                  <w14:solidFill>
                    <w14:schemeClr w14:val="tx1"/>
                  </w14:solidFill>
                </w14:textFill>
              </w:rPr>
              <w:t>首饰设计</w:t>
            </w:r>
            <w:r>
              <w:rPr>
                <w:rFonts w:hint="eastAsia"/>
                <w:b w:val="0"/>
                <w:bCs w:val="0"/>
                <w:color w:val="000000" w:themeColor="text1"/>
                <w:sz w:val="22"/>
                <w:szCs w:val="22"/>
                <w:lang w:val="en-US" w:eastAsia="zh-CN"/>
                <w14:textFill>
                  <w14:solidFill>
                    <w14:schemeClr w14:val="tx1"/>
                  </w14:solidFill>
                </w14:textFill>
              </w:rPr>
              <w:t>专业绘图</w:t>
            </w:r>
            <w:r>
              <w:rPr>
                <w:rFonts w:hint="eastAsia" w:ascii="宋体" w:hAnsi="宋体"/>
                <w:b w:val="0"/>
                <w:bCs w:val="0"/>
                <w:color w:val="000000" w:themeColor="text1"/>
                <w:sz w:val="22"/>
                <w:szCs w:val="22"/>
                <w14:textFill>
                  <w14:solidFill>
                    <w14:schemeClr w14:val="tx1"/>
                  </w14:solidFill>
                </w14:textFill>
              </w:rPr>
              <w:t>概论</w:t>
            </w:r>
          </w:p>
        </w:tc>
        <w:tc>
          <w:tcPr>
            <w:tcW w:w="2690" w:type="dxa"/>
            <w:vAlign w:val="center"/>
          </w:tcPr>
          <w:p w14:paraId="71E14DD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讲授</w:t>
            </w:r>
          </w:p>
        </w:tc>
        <w:tc>
          <w:tcPr>
            <w:tcW w:w="1697" w:type="dxa"/>
            <w:vAlign w:val="center"/>
          </w:tcPr>
          <w:p w14:paraId="477680A5">
            <w:pPr>
              <w:widowControl w:val="0"/>
              <w:snapToGrid w:val="0"/>
              <w:ind w:firstLine="210" w:firstLineChars="100"/>
              <w:jc w:val="both"/>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课堂提问</w:t>
            </w:r>
          </w:p>
        </w:tc>
        <w:tc>
          <w:tcPr>
            <w:tcW w:w="708" w:type="dxa"/>
            <w:vAlign w:val="center"/>
          </w:tcPr>
          <w:p w14:paraId="0FC4337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53" w:type="dxa"/>
            <w:vAlign w:val="center"/>
          </w:tcPr>
          <w:p w14:paraId="7F809A46">
            <w:pPr>
              <w:widowControl w:val="0"/>
              <w:snapToGrid w:val="0"/>
              <w:jc w:val="center"/>
              <w:rPr>
                <w:rFonts w:ascii="Times New Roman" w:hAnsi="Times New Roman"/>
                <w:bCs/>
                <w:sz w:val="21"/>
                <w:szCs w:val="21"/>
              </w:rPr>
            </w:pPr>
          </w:p>
        </w:tc>
        <w:tc>
          <w:tcPr>
            <w:tcW w:w="700" w:type="dxa"/>
            <w:tcBorders>
              <w:right w:val="single" w:color="auto" w:sz="12" w:space="0"/>
            </w:tcBorders>
            <w:vAlign w:val="center"/>
          </w:tcPr>
          <w:p w14:paraId="11D275C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22FB8F29">
        <w:trPr>
          <w:trHeight w:val="454" w:hRule="atLeast"/>
          <w:jc w:val="center"/>
        </w:trPr>
        <w:tc>
          <w:tcPr>
            <w:tcW w:w="1828" w:type="dxa"/>
            <w:tcBorders>
              <w:left w:val="single" w:color="auto" w:sz="12" w:space="0"/>
            </w:tcBorders>
            <w:vAlign w:val="center"/>
          </w:tcPr>
          <w:p w14:paraId="46525AF8">
            <w:pPr>
              <w:pStyle w:val="15"/>
              <w:widowControl w:val="0"/>
              <w:rPr>
                <w:rFonts w:ascii="Times New Roman" w:hAnsi="Times New Roman"/>
                <w:b w:val="0"/>
                <w:bCs w:val="0"/>
                <w:sz w:val="21"/>
                <w:szCs w:val="21"/>
              </w:rPr>
            </w:pPr>
            <w:r>
              <w:rPr>
                <w:rFonts w:hint="eastAsia" w:ascii="宋体" w:hAnsi="宋体" w:eastAsia="宋体" w:cs="宋体"/>
                <w:b w:val="0"/>
                <w:bCs w:val="0"/>
                <w:color w:val="000000" w:themeColor="text1"/>
                <w:sz w:val="22"/>
                <w:szCs w:val="22"/>
                <w:lang w:val="en-US" w:eastAsia="zh-CN"/>
                <w14:textFill>
                  <w14:solidFill>
                    <w14:schemeClr w14:val="tx1"/>
                  </w14:solidFill>
                </w14:textFill>
              </w:rPr>
              <w:t>宝石特性及</w:t>
            </w:r>
            <w:r>
              <w:rPr>
                <w:rFonts w:hint="eastAsia" w:cs="宋体"/>
                <w:b w:val="0"/>
                <w:bCs w:val="0"/>
                <w:color w:val="000000" w:themeColor="text1"/>
                <w:sz w:val="22"/>
                <w:szCs w:val="22"/>
                <w:lang w:val="en-US" w:eastAsia="zh-CN"/>
                <w14:textFill>
                  <w14:solidFill>
                    <w14:schemeClr w14:val="tx1"/>
                  </w14:solidFill>
                </w14:textFill>
              </w:rPr>
              <w:t>手绘表现</w:t>
            </w:r>
          </w:p>
        </w:tc>
        <w:tc>
          <w:tcPr>
            <w:tcW w:w="2690" w:type="dxa"/>
            <w:vAlign w:val="center"/>
          </w:tcPr>
          <w:p w14:paraId="53346EA3">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讲授、实验</w:t>
            </w:r>
          </w:p>
        </w:tc>
        <w:tc>
          <w:tcPr>
            <w:tcW w:w="1697" w:type="dxa"/>
            <w:vAlign w:val="center"/>
          </w:tcPr>
          <w:p w14:paraId="60884192">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作品</w:t>
            </w:r>
          </w:p>
        </w:tc>
        <w:tc>
          <w:tcPr>
            <w:tcW w:w="708" w:type="dxa"/>
            <w:vAlign w:val="center"/>
          </w:tcPr>
          <w:p w14:paraId="5D2F839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53" w:type="dxa"/>
            <w:vAlign w:val="center"/>
          </w:tcPr>
          <w:p w14:paraId="67840FC4">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10</w:t>
            </w:r>
          </w:p>
        </w:tc>
        <w:tc>
          <w:tcPr>
            <w:tcW w:w="700" w:type="dxa"/>
            <w:tcBorders>
              <w:right w:val="single" w:color="auto" w:sz="12" w:space="0"/>
            </w:tcBorders>
            <w:vAlign w:val="center"/>
          </w:tcPr>
          <w:p w14:paraId="39FBF659">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14</w:t>
            </w:r>
          </w:p>
        </w:tc>
      </w:tr>
      <w:tr w14:paraId="4C8EFD3B">
        <w:trPr>
          <w:trHeight w:val="454" w:hRule="atLeast"/>
          <w:jc w:val="center"/>
        </w:trPr>
        <w:tc>
          <w:tcPr>
            <w:tcW w:w="1828" w:type="dxa"/>
            <w:tcBorders>
              <w:left w:val="single" w:color="auto" w:sz="12" w:space="0"/>
            </w:tcBorders>
            <w:vAlign w:val="center"/>
          </w:tcPr>
          <w:p w14:paraId="016A0408">
            <w:pPr>
              <w:pStyle w:val="15"/>
              <w:widowControl w:val="0"/>
              <w:rPr>
                <w:rFonts w:ascii="Times New Roman" w:hAnsi="Times New Roman"/>
                <w:b w:val="0"/>
                <w:bCs w:val="0"/>
                <w:sz w:val="21"/>
                <w:szCs w:val="21"/>
              </w:rPr>
            </w:pPr>
            <w:r>
              <w:rPr>
                <w:rFonts w:hint="eastAsia"/>
                <w:b w:val="0"/>
                <w:bCs w:val="0"/>
                <w:color w:val="000000"/>
                <w:sz w:val="22"/>
                <w:szCs w:val="22"/>
                <w:lang w:val="en-US" w:eastAsia="zh-CN"/>
              </w:rPr>
              <w:t>金属特性及手绘表现</w:t>
            </w:r>
          </w:p>
        </w:tc>
        <w:tc>
          <w:tcPr>
            <w:tcW w:w="2690" w:type="dxa"/>
            <w:vAlign w:val="center"/>
          </w:tcPr>
          <w:p w14:paraId="2E7C7E5F">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讲授、实验</w:t>
            </w:r>
          </w:p>
        </w:tc>
        <w:tc>
          <w:tcPr>
            <w:tcW w:w="1697" w:type="dxa"/>
            <w:vAlign w:val="center"/>
          </w:tcPr>
          <w:p w14:paraId="1C68FFC9">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作品</w:t>
            </w:r>
          </w:p>
        </w:tc>
        <w:tc>
          <w:tcPr>
            <w:tcW w:w="708" w:type="dxa"/>
            <w:vAlign w:val="center"/>
          </w:tcPr>
          <w:p w14:paraId="75422DC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53" w:type="dxa"/>
            <w:vAlign w:val="center"/>
          </w:tcPr>
          <w:p w14:paraId="61330DF1">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10</w:t>
            </w:r>
          </w:p>
        </w:tc>
        <w:tc>
          <w:tcPr>
            <w:tcW w:w="700" w:type="dxa"/>
            <w:tcBorders>
              <w:right w:val="single" w:color="auto" w:sz="12" w:space="0"/>
            </w:tcBorders>
            <w:vAlign w:val="center"/>
          </w:tcPr>
          <w:p w14:paraId="2A9BCC8D">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14</w:t>
            </w:r>
          </w:p>
        </w:tc>
      </w:tr>
      <w:tr w14:paraId="41E01979">
        <w:trPr>
          <w:trHeight w:val="454" w:hRule="atLeast"/>
          <w:jc w:val="center"/>
        </w:trPr>
        <w:tc>
          <w:tcPr>
            <w:tcW w:w="1828" w:type="dxa"/>
            <w:tcBorders>
              <w:left w:val="single" w:color="auto" w:sz="12" w:space="0"/>
            </w:tcBorders>
            <w:vAlign w:val="center"/>
          </w:tcPr>
          <w:p w14:paraId="7855005A">
            <w:pPr>
              <w:pStyle w:val="15"/>
              <w:widowControl w:val="0"/>
              <w:rPr>
                <w:rFonts w:ascii="Times New Roman" w:hAnsi="Times New Roman"/>
                <w:b w:val="0"/>
                <w:bCs w:val="0"/>
                <w:sz w:val="21"/>
                <w:szCs w:val="21"/>
              </w:rPr>
            </w:pPr>
            <w:r>
              <w:rPr>
                <w:rFonts w:hint="eastAsia" w:eastAsia="宋体" w:cs="宋体"/>
                <w:b w:val="0"/>
                <w:bCs w:val="0"/>
                <w:color w:val="000000"/>
                <w:sz w:val="22"/>
                <w:szCs w:val="22"/>
                <w:lang w:val="en-US" w:eastAsia="zh-CN"/>
              </w:rPr>
              <w:t>镶嵌工艺特性的手绘</w:t>
            </w:r>
          </w:p>
        </w:tc>
        <w:tc>
          <w:tcPr>
            <w:tcW w:w="2690" w:type="dxa"/>
            <w:vAlign w:val="center"/>
          </w:tcPr>
          <w:p w14:paraId="3B1F1B95">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讲授、实验</w:t>
            </w:r>
          </w:p>
        </w:tc>
        <w:tc>
          <w:tcPr>
            <w:tcW w:w="1697" w:type="dxa"/>
            <w:vAlign w:val="center"/>
          </w:tcPr>
          <w:p w14:paraId="29E992A2">
            <w:pPr>
              <w:widowControl w:val="0"/>
              <w:snapToGrid w:val="0"/>
              <w:jc w:val="center"/>
              <w:rPr>
                <w:rFonts w:hint="default" w:ascii="Times New Roman" w:hAnsi="Times New Roman"/>
                <w:bCs/>
                <w:sz w:val="21"/>
                <w:szCs w:val="21"/>
                <w:lang w:val="en-US"/>
              </w:rPr>
            </w:pPr>
            <w:r>
              <w:rPr>
                <w:rFonts w:hint="eastAsia" w:ascii="Times New Roman" w:hAnsi="Times New Roman"/>
                <w:bCs/>
                <w:sz w:val="21"/>
                <w:szCs w:val="21"/>
                <w:lang w:val="en-US" w:eastAsia="zh-CN"/>
              </w:rPr>
              <w:t>作品</w:t>
            </w:r>
          </w:p>
        </w:tc>
        <w:tc>
          <w:tcPr>
            <w:tcW w:w="708" w:type="dxa"/>
            <w:vAlign w:val="center"/>
          </w:tcPr>
          <w:p w14:paraId="6159AA4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53" w:type="dxa"/>
            <w:vAlign w:val="center"/>
          </w:tcPr>
          <w:p w14:paraId="342C481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10</w:t>
            </w:r>
          </w:p>
        </w:tc>
        <w:tc>
          <w:tcPr>
            <w:tcW w:w="700" w:type="dxa"/>
            <w:tcBorders>
              <w:right w:val="single" w:color="auto" w:sz="12" w:space="0"/>
            </w:tcBorders>
            <w:vAlign w:val="center"/>
          </w:tcPr>
          <w:p w14:paraId="356AFD21">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14</w:t>
            </w:r>
          </w:p>
        </w:tc>
      </w:tr>
      <w:tr w14:paraId="54E05716">
        <w:trPr>
          <w:trHeight w:val="454" w:hRule="atLeast"/>
          <w:jc w:val="center"/>
        </w:trPr>
        <w:tc>
          <w:tcPr>
            <w:tcW w:w="1828" w:type="dxa"/>
            <w:tcBorders>
              <w:left w:val="single" w:color="auto" w:sz="12" w:space="0"/>
            </w:tcBorders>
            <w:vAlign w:val="center"/>
          </w:tcPr>
          <w:p w14:paraId="4F5ABB3C">
            <w:pPr>
              <w:pStyle w:val="15"/>
              <w:widowControl w:val="0"/>
              <w:rPr>
                <w:rFonts w:ascii="Times New Roman" w:hAnsi="Times New Roman"/>
                <w:b w:val="0"/>
                <w:bCs w:val="0"/>
                <w:sz w:val="21"/>
                <w:szCs w:val="21"/>
              </w:rPr>
            </w:pPr>
            <w:r>
              <w:rPr>
                <w:rFonts w:hint="eastAsia"/>
                <w:b w:val="0"/>
                <w:bCs w:val="0"/>
                <w:sz w:val="22"/>
                <w:szCs w:val="22"/>
                <w:lang w:val="en-US" w:eastAsia="zh-CN"/>
              </w:rPr>
              <w:t xml:space="preserve"> 综合材料特性的手绘表现</w:t>
            </w:r>
          </w:p>
        </w:tc>
        <w:tc>
          <w:tcPr>
            <w:tcW w:w="2690" w:type="dxa"/>
            <w:vAlign w:val="center"/>
          </w:tcPr>
          <w:p w14:paraId="54E350B7">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讲授、实验</w:t>
            </w:r>
          </w:p>
        </w:tc>
        <w:tc>
          <w:tcPr>
            <w:tcW w:w="1697" w:type="dxa"/>
            <w:vAlign w:val="center"/>
          </w:tcPr>
          <w:p w14:paraId="683B99E3">
            <w:pPr>
              <w:widowControl w:val="0"/>
              <w:snapToGrid w:val="0"/>
              <w:jc w:val="center"/>
              <w:rPr>
                <w:rFonts w:hint="default" w:ascii="Times New Roman" w:hAnsi="Times New Roman"/>
                <w:bCs/>
                <w:sz w:val="21"/>
                <w:szCs w:val="21"/>
                <w:lang w:val="en-US"/>
              </w:rPr>
            </w:pPr>
            <w:r>
              <w:rPr>
                <w:rFonts w:hint="eastAsia" w:ascii="Times New Roman" w:hAnsi="Times New Roman"/>
                <w:bCs/>
                <w:sz w:val="21"/>
                <w:szCs w:val="21"/>
                <w:lang w:val="en-US" w:eastAsia="zh-CN"/>
              </w:rPr>
              <w:t>作品</w:t>
            </w:r>
          </w:p>
        </w:tc>
        <w:tc>
          <w:tcPr>
            <w:tcW w:w="708" w:type="dxa"/>
            <w:vAlign w:val="center"/>
          </w:tcPr>
          <w:p w14:paraId="60B6155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53" w:type="dxa"/>
            <w:vAlign w:val="center"/>
          </w:tcPr>
          <w:p w14:paraId="2207E3C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700" w:type="dxa"/>
            <w:tcBorders>
              <w:right w:val="single" w:color="auto" w:sz="12" w:space="0"/>
            </w:tcBorders>
            <w:vAlign w:val="center"/>
          </w:tcPr>
          <w:p w14:paraId="37C0DD5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r>
      <w:tr w14:paraId="4A0B419D">
        <w:trPr>
          <w:trHeight w:val="454" w:hRule="atLeast"/>
          <w:jc w:val="center"/>
        </w:trPr>
        <w:tc>
          <w:tcPr>
            <w:tcW w:w="1828" w:type="dxa"/>
            <w:tcBorders>
              <w:left w:val="single" w:color="auto" w:sz="12" w:space="0"/>
            </w:tcBorders>
            <w:vAlign w:val="center"/>
          </w:tcPr>
          <w:p w14:paraId="6A754D32">
            <w:pPr>
              <w:pStyle w:val="15"/>
              <w:widowControl w:val="0"/>
              <w:rPr>
                <w:rFonts w:hint="eastAsia"/>
                <w:b w:val="0"/>
                <w:bCs w:val="0"/>
                <w:lang w:val="en-US" w:eastAsia="zh-CN"/>
              </w:rPr>
            </w:pPr>
            <w:r>
              <w:rPr>
                <w:rFonts w:hint="eastAsia"/>
                <w:b w:val="0"/>
                <w:bCs w:val="0"/>
                <w:sz w:val="22"/>
                <w:szCs w:val="22"/>
                <w:lang w:val="en-US" w:eastAsia="zh-CN"/>
              </w:rPr>
              <w:t>珠宝首饰综合手绘表现</w:t>
            </w:r>
          </w:p>
        </w:tc>
        <w:tc>
          <w:tcPr>
            <w:tcW w:w="2690" w:type="dxa"/>
            <w:vAlign w:val="center"/>
          </w:tcPr>
          <w:p w14:paraId="475AC80C">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讲授、实验</w:t>
            </w:r>
          </w:p>
        </w:tc>
        <w:tc>
          <w:tcPr>
            <w:tcW w:w="1697" w:type="dxa"/>
            <w:vAlign w:val="center"/>
          </w:tcPr>
          <w:p w14:paraId="3AF6F2E0">
            <w:pPr>
              <w:widowControl w:val="0"/>
              <w:snapToGrid w:val="0"/>
              <w:jc w:val="center"/>
              <w:rPr>
                <w:rFonts w:hint="default" w:ascii="Times New Roman" w:hAnsi="Times New Roman"/>
                <w:bCs/>
                <w:sz w:val="21"/>
                <w:szCs w:val="21"/>
                <w:lang w:val="en-US"/>
              </w:rPr>
            </w:pPr>
            <w:r>
              <w:rPr>
                <w:rFonts w:hint="eastAsia" w:ascii="Times New Roman" w:hAnsi="Times New Roman"/>
                <w:bCs/>
                <w:sz w:val="21"/>
                <w:szCs w:val="21"/>
                <w:lang w:val="en-US" w:eastAsia="zh-CN"/>
              </w:rPr>
              <w:t>作品</w:t>
            </w:r>
          </w:p>
        </w:tc>
        <w:tc>
          <w:tcPr>
            <w:tcW w:w="708" w:type="dxa"/>
            <w:vAlign w:val="center"/>
          </w:tcPr>
          <w:p w14:paraId="0C28EB9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53" w:type="dxa"/>
            <w:vAlign w:val="center"/>
          </w:tcPr>
          <w:p w14:paraId="285F41A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c>
          <w:tcPr>
            <w:tcW w:w="700" w:type="dxa"/>
            <w:tcBorders>
              <w:right w:val="single" w:color="auto" w:sz="12" w:space="0"/>
            </w:tcBorders>
            <w:vAlign w:val="center"/>
          </w:tcPr>
          <w:p w14:paraId="121B62A6">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10</w:t>
            </w:r>
          </w:p>
        </w:tc>
      </w:tr>
      <w:tr w14:paraId="55B00C29">
        <w:trPr>
          <w:trHeight w:val="454" w:hRule="atLeast"/>
          <w:jc w:val="center"/>
        </w:trPr>
        <w:tc>
          <w:tcPr>
            <w:tcW w:w="6215" w:type="dxa"/>
            <w:gridSpan w:val="3"/>
            <w:tcBorders>
              <w:left w:val="single" w:color="auto" w:sz="12" w:space="0"/>
              <w:bottom w:val="single" w:color="auto" w:sz="12" w:space="0"/>
            </w:tcBorders>
            <w:vAlign w:val="center"/>
          </w:tcPr>
          <w:p w14:paraId="53692A08">
            <w:pPr>
              <w:pStyle w:val="14"/>
              <w:widowControl w:val="0"/>
            </w:pPr>
            <w:r>
              <w:rPr>
                <w:rFonts w:hint="eastAsia"/>
              </w:rPr>
              <w:t>合计</w:t>
            </w:r>
          </w:p>
        </w:tc>
        <w:tc>
          <w:tcPr>
            <w:tcW w:w="708" w:type="dxa"/>
            <w:tcBorders>
              <w:bottom w:val="single" w:color="auto" w:sz="12" w:space="0"/>
            </w:tcBorders>
            <w:vAlign w:val="center"/>
          </w:tcPr>
          <w:p w14:paraId="786FC143">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c>
          <w:tcPr>
            <w:tcW w:w="653" w:type="dxa"/>
            <w:tcBorders>
              <w:bottom w:val="single" w:color="auto" w:sz="12" w:space="0"/>
            </w:tcBorders>
            <w:vAlign w:val="center"/>
          </w:tcPr>
          <w:p w14:paraId="7DAF73BD">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40</w:t>
            </w:r>
          </w:p>
        </w:tc>
        <w:tc>
          <w:tcPr>
            <w:tcW w:w="700" w:type="dxa"/>
            <w:tcBorders>
              <w:bottom w:val="single" w:color="auto" w:sz="12" w:space="0"/>
              <w:right w:val="single" w:color="auto" w:sz="12" w:space="0"/>
            </w:tcBorders>
            <w:vAlign w:val="center"/>
          </w:tcPr>
          <w:p w14:paraId="244344DC">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64</w:t>
            </w:r>
          </w:p>
        </w:tc>
      </w:tr>
    </w:tbl>
    <w:p w14:paraId="61C19E61">
      <w:pPr>
        <w:pStyle w:val="18"/>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2D528DFE">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0E04052A">
            <w:pPr>
              <w:pStyle w:val="14"/>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1A25F2A3">
            <w:pPr>
              <w:pStyle w:val="14"/>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5E431E36">
            <w:pPr>
              <w:pStyle w:val="14"/>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18C18225">
            <w:pPr>
              <w:pStyle w:val="14"/>
              <w:rPr>
                <w:szCs w:val="16"/>
              </w:rPr>
            </w:pPr>
            <w:r>
              <w:rPr>
                <w:rFonts w:hint="eastAsia"/>
                <w:szCs w:val="16"/>
              </w:rPr>
              <w:t>实验</w:t>
            </w:r>
          </w:p>
          <w:p w14:paraId="1CBB132D">
            <w:pPr>
              <w:pStyle w:val="14"/>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681B454E">
            <w:pPr>
              <w:pStyle w:val="14"/>
              <w:rPr>
                <w:szCs w:val="16"/>
              </w:rPr>
            </w:pPr>
            <w:r>
              <w:rPr>
                <w:rFonts w:hint="eastAsia"/>
                <w:szCs w:val="16"/>
              </w:rPr>
              <w:t>实验</w:t>
            </w:r>
          </w:p>
          <w:p w14:paraId="3005704D">
            <w:pPr>
              <w:pStyle w:val="14"/>
              <w:rPr>
                <w:szCs w:val="16"/>
              </w:rPr>
            </w:pPr>
            <w:r>
              <w:rPr>
                <w:rFonts w:hint="eastAsia"/>
                <w:szCs w:val="16"/>
              </w:rPr>
              <w:t>类型</w:t>
            </w:r>
          </w:p>
        </w:tc>
      </w:tr>
      <w:tr w14:paraId="79A341F1">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77D3C872">
            <w:pPr>
              <w:pStyle w:val="15"/>
            </w:pPr>
            <w:r>
              <w:rPr>
                <w:rFonts w:hint="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4D5430F4">
            <w:pPr>
              <w:pStyle w:val="15"/>
            </w:pPr>
            <w:r>
              <w:rPr>
                <w:rFonts w:hint="eastAsia" w:ascii="宋体" w:hAnsi="宋体" w:eastAsia="宋体" w:cs="宋体"/>
                <w:b w:val="0"/>
                <w:bCs w:val="0"/>
                <w:color w:val="000000" w:themeColor="text1"/>
                <w:sz w:val="22"/>
                <w:szCs w:val="22"/>
                <w:lang w:val="en-US" w:eastAsia="zh-CN"/>
                <w14:textFill>
                  <w14:solidFill>
                    <w14:schemeClr w14:val="tx1"/>
                  </w14:solidFill>
                </w14:textFill>
              </w:rPr>
              <w:t>宝石特性及</w:t>
            </w:r>
            <w:r>
              <w:rPr>
                <w:rFonts w:hint="eastAsia" w:cs="宋体"/>
                <w:b w:val="0"/>
                <w:bCs w:val="0"/>
                <w:color w:val="000000" w:themeColor="text1"/>
                <w:sz w:val="22"/>
                <w:szCs w:val="22"/>
                <w:lang w:val="en-US" w:eastAsia="zh-CN"/>
                <w14:textFill>
                  <w14:solidFill>
                    <w14:schemeClr w14:val="tx1"/>
                  </w14:solidFill>
                </w14:textFill>
              </w:rPr>
              <w:t>手绘表现</w:t>
            </w:r>
          </w:p>
        </w:tc>
        <w:tc>
          <w:tcPr>
            <w:tcW w:w="3965" w:type="dxa"/>
            <w:tcBorders>
              <w:top w:val="single" w:color="auto" w:sz="4" w:space="0"/>
              <w:left w:val="single" w:color="auto" w:sz="4" w:space="0"/>
              <w:bottom w:val="single" w:color="auto" w:sz="4" w:space="0"/>
              <w:right w:val="single" w:color="auto" w:sz="4" w:space="0"/>
            </w:tcBorders>
            <w:vAlign w:val="center"/>
          </w:tcPr>
          <w:p w14:paraId="7F40C80C">
            <w:pPr>
              <w:pStyle w:val="15"/>
              <w:jc w:val="lef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rPr>
              <w:t>掌握</w:t>
            </w:r>
            <w:r>
              <w:rPr>
                <w:rFonts w:hint="eastAsia" w:asciiTheme="minorEastAsia" w:hAnsiTheme="minorEastAsia" w:eastAsiaTheme="minorEastAsia" w:cstheme="minorEastAsia"/>
                <w:b w:val="0"/>
                <w:bCs/>
                <w:color w:val="000000"/>
                <w:sz w:val="21"/>
                <w:szCs w:val="21"/>
                <w:lang w:val="en-US" w:eastAsia="zh-CN"/>
              </w:rPr>
              <w:t>珠宝首饰产品</w:t>
            </w:r>
            <w:r>
              <w:rPr>
                <w:rFonts w:hint="eastAsia" w:asciiTheme="minorEastAsia" w:hAnsiTheme="minorEastAsia" w:eastAsiaTheme="minorEastAsia" w:cstheme="minorEastAsia"/>
                <w:b w:val="0"/>
                <w:bCs/>
                <w:color w:val="000000"/>
                <w:sz w:val="21"/>
                <w:szCs w:val="21"/>
              </w:rPr>
              <w:t>中刻面宝石不同琢型</w:t>
            </w:r>
            <w:r>
              <w:rPr>
                <w:rFonts w:hint="eastAsia" w:asciiTheme="minorEastAsia" w:hAnsiTheme="minorEastAsia" w:eastAsiaTheme="minorEastAsia" w:cstheme="minorEastAsia"/>
                <w:b w:val="0"/>
                <w:bCs/>
                <w:color w:val="000000"/>
                <w:sz w:val="21"/>
                <w:szCs w:val="21"/>
                <w:lang w:val="en-US" w:eastAsia="zh-CN"/>
              </w:rPr>
              <w:t>及弧面宝石不同宝石特征的表现</w:t>
            </w:r>
            <w:r>
              <w:rPr>
                <w:rFonts w:hint="eastAsia" w:asciiTheme="minorEastAsia" w:hAnsiTheme="minorEastAsia" w:eastAsiaTheme="minorEastAsia" w:cstheme="minorEastAsia"/>
                <w:b w:val="0"/>
                <w:bCs/>
                <w:color w:val="000000"/>
                <w:sz w:val="21"/>
                <w:szCs w:val="21"/>
              </w:rPr>
              <w:t>技法，能够进行彩色</w:t>
            </w:r>
            <w:r>
              <w:rPr>
                <w:rFonts w:hint="eastAsia" w:asciiTheme="minorEastAsia" w:hAnsiTheme="minorEastAsia" w:eastAsiaTheme="minorEastAsia" w:cstheme="minorEastAsia"/>
                <w:b w:val="0"/>
                <w:bCs/>
                <w:color w:val="000000"/>
                <w:sz w:val="21"/>
                <w:szCs w:val="21"/>
                <w:lang w:val="en-US" w:eastAsia="zh-CN"/>
              </w:rPr>
              <w:t>产品绘制表现。</w:t>
            </w:r>
          </w:p>
          <w:p w14:paraId="1923078A">
            <w:pPr>
              <w:widowControl w:val="0"/>
              <w:spacing w:line="240" w:lineRule="auto"/>
              <w:ind w:firstLine="420" w:firstLineChars="200"/>
              <w:jc w:val="both"/>
              <w:rPr>
                <w:rFonts w:hint="eastAsia" w:asciiTheme="minorEastAsia" w:hAnsiTheme="minorEastAsia" w:eastAsiaTheme="minorEastAsia" w:cstheme="minorEastAsia"/>
                <w:b w:val="0"/>
                <w:bCs/>
                <w:color w:val="000000"/>
                <w:sz w:val="21"/>
                <w:szCs w:val="21"/>
                <w:lang w:val="en-US" w:eastAsia="zh-CN"/>
              </w:rPr>
            </w:pPr>
            <w:r>
              <w:rPr>
                <w:rFonts w:hint="eastAsia"/>
                <w:b w:val="0"/>
                <w:color w:val="000000"/>
                <w:sz w:val="21"/>
                <w:szCs w:val="21"/>
              </w:rPr>
              <w:t>不同琢形的刻面宝石的刻面线画法和光影的表现原理</w:t>
            </w:r>
            <w:r>
              <w:rPr>
                <w:rFonts w:hint="eastAsia"/>
                <w:b w:val="0"/>
                <w:color w:val="000000"/>
                <w:sz w:val="21"/>
                <w:szCs w:val="21"/>
                <w:lang w:eastAsia="zh-CN"/>
              </w:rPr>
              <w:t>；</w:t>
            </w:r>
            <w:r>
              <w:rPr>
                <w:rFonts w:hint="eastAsia"/>
                <w:b w:val="0"/>
                <w:color w:val="000000"/>
                <w:sz w:val="21"/>
                <w:szCs w:val="21"/>
              </w:rPr>
              <w:t>白</w:t>
            </w:r>
            <w:r>
              <w:rPr>
                <w:rFonts w:hint="eastAsia"/>
                <w:b w:val="0"/>
                <w:color w:val="000000"/>
                <w:sz w:val="21"/>
                <w:szCs w:val="21"/>
                <w:lang w:val="en-US" w:eastAsia="zh-CN"/>
              </w:rPr>
              <w:t>色</w:t>
            </w:r>
            <w:r>
              <w:rPr>
                <w:rFonts w:hint="eastAsia"/>
                <w:b w:val="0"/>
                <w:color w:val="000000"/>
                <w:sz w:val="21"/>
                <w:szCs w:val="21"/>
              </w:rPr>
              <w:t>和彩色刻面宝石的不同色彩表现和刻面宝石的火彩表现</w:t>
            </w:r>
            <w:r>
              <w:rPr>
                <w:rFonts w:hint="eastAsia"/>
                <w:b w:val="0"/>
                <w:color w:val="000000"/>
                <w:sz w:val="21"/>
                <w:szCs w:val="21"/>
                <w:lang w:val="en-US" w:eastAsia="zh-CN"/>
              </w:rPr>
              <w:t>方式；</w:t>
            </w:r>
            <w:r>
              <w:rPr>
                <w:rFonts w:hint="eastAsia"/>
                <w:b w:val="0"/>
                <w:color w:val="000000"/>
                <w:sz w:val="21"/>
                <w:szCs w:val="21"/>
              </w:rPr>
              <w:t>不同</w:t>
            </w:r>
            <w:r>
              <w:rPr>
                <w:rFonts w:hint="eastAsia"/>
                <w:b w:val="0"/>
                <w:color w:val="000000"/>
                <w:sz w:val="21"/>
                <w:szCs w:val="21"/>
                <w:lang w:eastAsia="zh-Hans"/>
              </w:rPr>
              <w:t>弧面宝石</w:t>
            </w:r>
            <w:r>
              <w:rPr>
                <w:rFonts w:hint="eastAsia"/>
                <w:b w:val="0"/>
                <w:color w:val="000000"/>
                <w:sz w:val="21"/>
                <w:szCs w:val="21"/>
              </w:rPr>
              <w:t>的</w:t>
            </w:r>
            <w:r>
              <w:rPr>
                <w:rFonts w:hint="eastAsia"/>
                <w:b w:val="0"/>
                <w:color w:val="000000"/>
                <w:sz w:val="21"/>
                <w:szCs w:val="21"/>
                <w:lang w:eastAsia="zh-Hans"/>
              </w:rPr>
              <w:t>透明性原理及宝石颜色和</w:t>
            </w:r>
            <w:r>
              <w:rPr>
                <w:rFonts w:hint="eastAsia"/>
                <w:b w:val="0"/>
                <w:color w:val="000000"/>
                <w:sz w:val="21"/>
                <w:szCs w:val="21"/>
                <w:lang w:val="en-US" w:eastAsia="zh-CN"/>
              </w:rPr>
              <w:t>光学</w:t>
            </w:r>
            <w:r>
              <w:rPr>
                <w:rFonts w:hint="eastAsia"/>
                <w:b w:val="0"/>
                <w:color w:val="000000"/>
                <w:sz w:val="21"/>
                <w:szCs w:val="21"/>
                <w:lang w:eastAsia="zh-Hans"/>
              </w:rPr>
              <w:t>特</w:t>
            </w:r>
            <w:r>
              <w:rPr>
                <w:rFonts w:hint="eastAsia"/>
                <w:b w:val="0"/>
                <w:bCs w:val="0"/>
                <w:color w:val="000000"/>
                <w:sz w:val="21"/>
                <w:szCs w:val="21"/>
                <w:lang w:eastAsia="zh-Hans"/>
              </w:rPr>
              <w:t>征</w:t>
            </w:r>
            <w:r>
              <w:rPr>
                <w:rFonts w:hint="eastAsia"/>
                <w:b w:val="0"/>
                <w:bCs w:val="0"/>
                <w:color w:val="000000"/>
                <w:sz w:val="21"/>
                <w:szCs w:val="21"/>
                <w:lang w:eastAsia="zh-CN"/>
              </w:rPr>
              <w:t>、</w:t>
            </w:r>
            <w:r>
              <w:rPr>
                <w:rFonts w:hint="eastAsia"/>
                <w:b w:val="0"/>
                <w:bCs w:val="0"/>
                <w:color w:val="000000"/>
                <w:sz w:val="21"/>
                <w:szCs w:val="21"/>
                <w:lang w:eastAsia="zh-Hans"/>
              </w:rPr>
              <w:t>光影特点</w:t>
            </w:r>
            <w:r>
              <w:rPr>
                <w:rFonts w:hint="eastAsia"/>
                <w:b w:val="0"/>
                <w:bCs w:val="0"/>
                <w:color w:val="000000"/>
                <w:sz w:val="21"/>
                <w:szCs w:val="21"/>
                <w:lang w:val="en-US" w:eastAsia="zh-CN"/>
              </w:rPr>
              <w:t>的色彩表现，绘制相应作品。</w:t>
            </w:r>
          </w:p>
        </w:tc>
        <w:tc>
          <w:tcPr>
            <w:tcW w:w="842" w:type="dxa"/>
            <w:tcBorders>
              <w:left w:val="single" w:color="auto" w:sz="4" w:space="0"/>
              <w:right w:val="single" w:color="auto" w:sz="4" w:space="0"/>
            </w:tcBorders>
            <w:shd w:val="clear" w:color="auto" w:fill="auto"/>
            <w:vAlign w:val="center"/>
          </w:tcPr>
          <w:p w14:paraId="147C67E8">
            <w:pPr>
              <w:pStyle w:val="15"/>
              <w:rPr>
                <w:rFonts w:hint="default" w:eastAsia="宋体"/>
                <w:lang w:val="en-US" w:eastAsia="zh-CN"/>
              </w:rPr>
            </w:pPr>
            <w:r>
              <w:rPr>
                <w:rFonts w:hint="eastAsia"/>
                <w:lang w:val="en-US" w:eastAsia="zh-CN"/>
              </w:rPr>
              <w:t>10</w:t>
            </w:r>
          </w:p>
        </w:tc>
        <w:tc>
          <w:tcPr>
            <w:tcW w:w="928" w:type="dxa"/>
            <w:tcBorders>
              <w:left w:val="single" w:color="auto" w:sz="4" w:space="0"/>
              <w:right w:val="single" w:color="auto" w:sz="12" w:space="0"/>
            </w:tcBorders>
            <w:shd w:val="clear" w:color="auto" w:fill="auto"/>
            <w:vAlign w:val="center"/>
          </w:tcPr>
          <w:p w14:paraId="6D2E4F46">
            <w:pPr>
              <w:pStyle w:val="15"/>
            </w:pPr>
            <w:r>
              <w:rPr>
                <w:rFonts w:hint="eastAsia"/>
              </w:rPr>
              <w:t>演示型验证型</w:t>
            </w:r>
          </w:p>
        </w:tc>
      </w:tr>
      <w:tr w14:paraId="5B92D10C">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165AFC7F">
            <w:pPr>
              <w:pStyle w:val="15"/>
              <w:rPr>
                <w:rFonts w:hint="eastAsia" w:eastAsia="宋体"/>
                <w:lang w:val="en-US" w:eastAsia="zh-CN"/>
              </w:rPr>
            </w:pPr>
            <w:r>
              <w:rPr>
                <w:rFonts w:hint="eastAsia"/>
                <w:lang w:val="en-US" w:eastAsia="zh-CN"/>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558D5742">
            <w:pPr>
              <w:pStyle w:val="15"/>
            </w:pPr>
            <w:r>
              <w:rPr>
                <w:rFonts w:hint="eastAsia"/>
                <w:b w:val="0"/>
                <w:bCs w:val="0"/>
                <w:color w:val="000000"/>
                <w:sz w:val="22"/>
                <w:szCs w:val="22"/>
                <w:lang w:val="en-US" w:eastAsia="zh-CN"/>
              </w:rPr>
              <w:t>金属特性及手绘表现</w:t>
            </w:r>
          </w:p>
        </w:tc>
        <w:tc>
          <w:tcPr>
            <w:tcW w:w="3965" w:type="dxa"/>
            <w:tcBorders>
              <w:top w:val="single" w:color="auto" w:sz="4" w:space="0"/>
              <w:left w:val="single" w:color="auto" w:sz="4" w:space="0"/>
              <w:bottom w:val="single" w:color="auto" w:sz="4" w:space="0"/>
              <w:right w:val="single" w:color="auto" w:sz="4" w:space="0"/>
            </w:tcBorders>
            <w:vAlign w:val="center"/>
          </w:tcPr>
          <w:p w14:paraId="01688979">
            <w:pPr>
              <w:widowControl w:val="0"/>
              <w:spacing w:line="240" w:lineRule="auto"/>
              <w:ind w:left="-50" w:right="-50" w:firstLine="420" w:firstLineChars="200"/>
              <w:jc w:val="both"/>
              <w:rPr>
                <w:rFonts w:hint="default"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rPr>
              <w:t>掌握</w:t>
            </w:r>
            <w:r>
              <w:rPr>
                <w:rFonts w:hint="eastAsia" w:asciiTheme="minorEastAsia" w:hAnsiTheme="minorEastAsia" w:eastAsiaTheme="minorEastAsia" w:cstheme="minorEastAsia"/>
                <w:b w:val="0"/>
                <w:bCs/>
                <w:color w:val="000000"/>
                <w:sz w:val="21"/>
                <w:szCs w:val="21"/>
                <w:lang w:val="en-US" w:eastAsia="zh-CN"/>
              </w:rPr>
              <w:t>珠宝首饰产品</w:t>
            </w:r>
            <w:r>
              <w:rPr>
                <w:rFonts w:hint="eastAsia" w:asciiTheme="minorEastAsia" w:hAnsiTheme="minorEastAsia" w:eastAsiaTheme="minorEastAsia" w:cstheme="minorEastAsia"/>
                <w:b w:val="0"/>
                <w:bCs/>
                <w:color w:val="000000"/>
                <w:sz w:val="21"/>
                <w:szCs w:val="21"/>
              </w:rPr>
              <w:t>中</w:t>
            </w:r>
            <w:r>
              <w:rPr>
                <w:rFonts w:hint="eastAsia" w:asciiTheme="minorEastAsia" w:hAnsiTheme="minorEastAsia" w:eastAsiaTheme="minorEastAsia" w:cstheme="minorEastAsia"/>
                <w:b w:val="0"/>
                <w:bCs/>
                <w:color w:val="000000"/>
                <w:sz w:val="21"/>
                <w:szCs w:val="21"/>
                <w:lang w:val="en-US" w:eastAsia="zh-CN"/>
              </w:rPr>
              <w:t>不同金属结构、颜色、肌理等方面的表现</w:t>
            </w:r>
            <w:r>
              <w:rPr>
                <w:rFonts w:hint="eastAsia" w:asciiTheme="minorEastAsia" w:hAnsiTheme="minorEastAsia" w:eastAsiaTheme="minorEastAsia" w:cstheme="minorEastAsia"/>
                <w:b w:val="0"/>
                <w:bCs/>
                <w:color w:val="000000"/>
                <w:sz w:val="21"/>
                <w:szCs w:val="21"/>
              </w:rPr>
              <w:t>技法，能够进行彩色</w:t>
            </w:r>
            <w:r>
              <w:rPr>
                <w:rFonts w:hint="eastAsia" w:asciiTheme="minorEastAsia" w:hAnsiTheme="minorEastAsia" w:eastAsiaTheme="minorEastAsia" w:cstheme="minorEastAsia"/>
                <w:b w:val="0"/>
                <w:bCs/>
                <w:color w:val="000000"/>
                <w:sz w:val="21"/>
                <w:szCs w:val="21"/>
                <w:lang w:val="en-US" w:eastAsia="zh-CN"/>
              </w:rPr>
              <w:t>产品绘制表现。</w:t>
            </w:r>
          </w:p>
          <w:p w14:paraId="24618F51">
            <w:pPr>
              <w:pStyle w:val="15"/>
              <w:jc w:val="left"/>
            </w:pPr>
            <w:r>
              <w:rPr>
                <w:rFonts w:hint="eastAsia"/>
                <w:b w:val="0"/>
                <w:color w:val="000000"/>
                <w:sz w:val="21"/>
                <w:szCs w:val="21"/>
              </w:rPr>
              <w:t>不同</w:t>
            </w:r>
            <w:r>
              <w:rPr>
                <w:rFonts w:hint="eastAsia"/>
                <w:b w:val="0"/>
                <w:color w:val="000000"/>
                <w:sz w:val="21"/>
                <w:szCs w:val="21"/>
                <w:lang w:val="en-US" w:eastAsia="zh-CN"/>
              </w:rPr>
              <w:t>金属结构的结构关系和</w:t>
            </w:r>
            <w:r>
              <w:rPr>
                <w:rFonts w:hint="eastAsia"/>
                <w:b w:val="0"/>
                <w:color w:val="000000"/>
                <w:sz w:val="21"/>
                <w:szCs w:val="21"/>
              </w:rPr>
              <w:t>光影表现原理</w:t>
            </w:r>
            <w:r>
              <w:rPr>
                <w:rFonts w:hint="eastAsia"/>
                <w:b w:val="0"/>
                <w:color w:val="000000"/>
                <w:sz w:val="21"/>
                <w:szCs w:val="21"/>
                <w:lang w:eastAsia="zh-CN"/>
              </w:rPr>
              <w:t>；</w:t>
            </w:r>
            <w:r>
              <w:rPr>
                <w:rFonts w:hint="eastAsia"/>
                <w:b w:val="0"/>
                <w:color w:val="000000"/>
                <w:sz w:val="21"/>
                <w:szCs w:val="21"/>
              </w:rPr>
              <w:t>白</w:t>
            </w:r>
            <w:r>
              <w:rPr>
                <w:rFonts w:hint="eastAsia"/>
                <w:b w:val="0"/>
                <w:color w:val="000000"/>
                <w:sz w:val="21"/>
                <w:szCs w:val="21"/>
                <w:lang w:val="en-US" w:eastAsia="zh-CN"/>
              </w:rPr>
              <w:t>色、黄</w:t>
            </w:r>
            <w:r>
              <w:rPr>
                <w:rFonts w:hint="eastAsia"/>
                <w:b w:val="0"/>
                <w:color w:val="000000"/>
                <w:sz w:val="21"/>
                <w:szCs w:val="21"/>
              </w:rPr>
              <w:t>色</w:t>
            </w:r>
            <w:r>
              <w:rPr>
                <w:rFonts w:hint="eastAsia"/>
                <w:b w:val="0"/>
                <w:color w:val="000000"/>
                <w:sz w:val="21"/>
                <w:szCs w:val="21"/>
                <w:lang w:eastAsia="zh-CN"/>
              </w:rPr>
              <w:t>、</w:t>
            </w:r>
            <w:r>
              <w:rPr>
                <w:rFonts w:hint="eastAsia"/>
                <w:b w:val="0"/>
                <w:color w:val="000000"/>
                <w:sz w:val="21"/>
                <w:szCs w:val="21"/>
                <w:lang w:val="en-US" w:eastAsia="zh-CN"/>
              </w:rPr>
              <w:t>橘色、黑色金属的颜色表现配比；</w:t>
            </w:r>
            <w:r>
              <w:rPr>
                <w:rFonts w:hint="eastAsia"/>
                <w:b w:val="0"/>
                <w:color w:val="000000"/>
                <w:sz w:val="21"/>
                <w:szCs w:val="21"/>
              </w:rPr>
              <w:t>不同</w:t>
            </w:r>
            <w:r>
              <w:rPr>
                <w:rFonts w:hint="eastAsia"/>
                <w:b w:val="0"/>
                <w:color w:val="000000"/>
                <w:sz w:val="21"/>
                <w:szCs w:val="21"/>
                <w:lang w:val="en-US" w:eastAsia="zh-CN"/>
              </w:rPr>
              <w:t>金属肌理的制作原理和表现效果及运用场合，并</w:t>
            </w:r>
            <w:r>
              <w:rPr>
                <w:rFonts w:hint="eastAsia"/>
                <w:b w:val="0"/>
                <w:bCs w:val="0"/>
                <w:color w:val="000000"/>
                <w:sz w:val="21"/>
                <w:szCs w:val="21"/>
                <w:lang w:val="en-US" w:eastAsia="zh-CN"/>
              </w:rPr>
              <w:t>绘制相应金属首饰作品。</w:t>
            </w:r>
          </w:p>
        </w:tc>
        <w:tc>
          <w:tcPr>
            <w:tcW w:w="842" w:type="dxa"/>
            <w:tcBorders>
              <w:left w:val="single" w:color="auto" w:sz="4" w:space="0"/>
              <w:right w:val="single" w:color="auto" w:sz="4" w:space="0"/>
            </w:tcBorders>
            <w:shd w:val="clear" w:color="auto" w:fill="auto"/>
            <w:vAlign w:val="center"/>
          </w:tcPr>
          <w:p w14:paraId="3B2C7444">
            <w:pPr>
              <w:pStyle w:val="15"/>
              <w:rPr>
                <w:rFonts w:hint="default" w:eastAsia="宋体"/>
                <w:lang w:val="en-US" w:eastAsia="zh-CN"/>
              </w:rPr>
            </w:pPr>
            <w:r>
              <w:rPr>
                <w:rFonts w:hint="eastAsia"/>
                <w:lang w:val="en-US" w:eastAsia="zh-CN"/>
              </w:rPr>
              <w:t>10</w:t>
            </w:r>
          </w:p>
        </w:tc>
        <w:tc>
          <w:tcPr>
            <w:tcW w:w="928" w:type="dxa"/>
            <w:tcBorders>
              <w:left w:val="single" w:color="auto" w:sz="4" w:space="0"/>
              <w:right w:val="single" w:color="auto" w:sz="12" w:space="0"/>
            </w:tcBorders>
            <w:shd w:val="clear" w:color="auto" w:fill="auto"/>
            <w:vAlign w:val="center"/>
          </w:tcPr>
          <w:p w14:paraId="256E9DB9">
            <w:pPr>
              <w:pStyle w:val="15"/>
            </w:pPr>
            <w:r>
              <w:rPr>
                <w:rFonts w:hint="eastAsia"/>
              </w:rPr>
              <w:t>演示型验证型</w:t>
            </w:r>
          </w:p>
        </w:tc>
      </w:tr>
      <w:tr w14:paraId="4EAD7007">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2BDBA038">
            <w:pPr>
              <w:pStyle w:val="15"/>
              <w:rPr>
                <w:rFonts w:hint="eastAsia" w:eastAsia="宋体"/>
                <w:lang w:val="en-US" w:eastAsia="zh-CN"/>
              </w:rPr>
            </w:pPr>
            <w:r>
              <w:rPr>
                <w:rFonts w:hint="eastAsia"/>
                <w:lang w:val="en-US" w:eastAsia="zh-CN"/>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1FF4A795">
            <w:pPr>
              <w:pStyle w:val="15"/>
            </w:pPr>
            <w:r>
              <w:rPr>
                <w:rFonts w:hint="eastAsia" w:eastAsia="宋体" w:cs="宋体"/>
                <w:b w:val="0"/>
                <w:bCs w:val="0"/>
                <w:color w:val="000000"/>
                <w:sz w:val="22"/>
                <w:szCs w:val="22"/>
                <w:lang w:val="en-US" w:eastAsia="zh-CN"/>
              </w:rPr>
              <w:t>镶嵌工艺特性的手绘</w:t>
            </w:r>
          </w:p>
        </w:tc>
        <w:tc>
          <w:tcPr>
            <w:tcW w:w="3965" w:type="dxa"/>
            <w:tcBorders>
              <w:top w:val="single" w:color="auto" w:sz="4" w:space="0"/>
              <w:left w:val="single" w:color="auto" w:sz="4" w:space="0"/>
              <w:bottom w:val="single" w:color="auto" w:sz="4" w:space="0"/>
              <w:right w:val="single" w:color="auto" w:sz="4" w:space="0"/>
            </w:tcBorders>
            <w:vAlign w:val="center"/>
          </w:tcPr>
          <w:p w14:paraId="6A3A5325">
            <w:pPr>
              <w:widowControl w:val="0"/>
              <w:spacing w:line="240" w:lineRule="auto"/>
              <w:ind w:firstLine="420" w:firstLineChars="200"/>
              <w:jc w:val="both"/>
              <w:rPr>
                <w:rFonts w:hint="eastAsia"/>
                <w:b w:val="0"/>
                <w:bCs w:val="0"/>
                <w:color w:val="000000"/>
                <w:sz w:val="21"/>
                <w:szCs w:val="21"/>
              </w:rPr>
            </w:pPr>
            <w:r>
              <w:rPr>
                <w:rFonts w:hint="eastAsia" w:asciiTheme="minorEastAsia" w:hAnsiTheme="minorEastAsia" w:eastAsiaTheme="minorEastAsia" w:cstheme="minorEastAsia"/>
                <w:b w:val="0"/>
                <w:bCs/>
                <w:color w:val="000000"/>
                <w:sz w:val="21"/>
                <w:szCs w:val="21"/>
              </w:rPr>
              <w:t>掌握</w:t>
            </w:r>
            <w:r>
              <w:rPr>
                <w:rFonts w:hint="eastAsia" w:asciiTheme="minorEastAsia" w:hAnsiTheme="minorEastAsia" w:eastAsiaTheme="minorEastAsia" w:cstheme="minorEastAsia"/>
                <w:b w:val="0"/>
                <w:bCs/>
                <w:color w:val="000000"/>
                <w:sz w:val="21"/>
                <w:szCs w:val="21"/>
                <w:lang w:val="en-US" w:eastAsia="zh-CN"/>
              </w:rPr>
              <w:t>珠宝首饰产品</w:t>
            </w:r>
            <w:r>
              <w:rPr>
                <w:rFonts w:hint="eastAsia" w:asciiTheme="minorEastAsia" w:hAnsiTheme="minorEastAsia" w:eastAsiaTheme="minorEastAsia" w:cstheme="minorEastAsia"/>
                <w:b w:val="0"/>
                <w:bCs/>
                <w:color w:val="000000"/>
                <w:sz w:val="21"/>
                <w:szCs w:val="21"/>
              </w:rPr>
              <w:t>中</w:t>
            </w:r>
            <w:r>
              <w:rPr>
                <w:rFonts w:hint="eastAsia" w:asciiTheme="minorEastAsia" w:hAnsiTheme="minorEastAsia" w:eastAsiaTheme="minorEastAsia" w:cstheme="minorEastAsia"/>
                <w:b w:val="0"/>
                <w:bCs/>
                <w:color w:val="000000"/>
                <w:sz w:val="21"/>
                <w:szCs w:val="21"/>
                <w:lang w:val="en-US" w:eastAsia="zh-CN"/>
              </w:rPr>
              <w:t>不同镶嵌工艺但工艺原理，并熟练掌握不同镶嵌工艺的运用场合，通过学习手绘表现技法，</w:t>
            </w:r>
            <w:r>
              <w:rPr>
                <w:rFonts w:hint="eastAsia" w:asciiTheme="minorEastAsia" w:hAnsiTheme="minorEastAsia" w:eastAsiaTheme="minorEastAsia" w:cstheme="minorEastAsia"/>
                <w:b w:val="0"/>
                <w:bCs/>
                <w:color w:val="000000"/>
                <w:sz w:val="21"/>
                <w:szCs w:val="21"/>
              </w:rPr>
              <w:t>能够</w:t>
            </w:r>
            <w:r>
              <w:rPr>
                <w:rFonts w:hint="eastAsia" w:asciiTheme="minorEastAsia" w:hAnsiTheme="minorEastAsia" w:eastAsiaTheme="minorEastAsia" w:cstheme="minorEastAsia"/>
                <w:b w:val="0"/>
                <w:bCs/>
                <w:color w:val="000000"/>
                <w:sz w:val="21"/>
                <w:szCs w:val="21"/>
                <w:lang w:val="en-US" w:eastAsia="zh-CN"/>
              </w:rPr>
              <w:t>完成最终的产品绘制表现。</w:t>
            </w:r>
            <w:r>
              <w:rPr>
                <w:rFonts w:hint="eastAsia"/>
                <w:b w:val="0"/>
                <w:color w:val="000000"/>
                <w:sz w:val="21"/>
                <w:szCs w:val="21"/>
              </w:rPr>
              <w:t>不同</w:t>
            </w:r>
            <w:r>
              <w:rPr>
                <w:rFonts w:hint="eastAsia"/>
                <w:b w:val="0"/>
                <w:color w:val="000000"/>
                <w:sz w:val="21"/>
                <w:szCs w:val="21"/>
                <w:lang w:val="en-US" w:eastAsia="zh-CN"/>
              </w:rPr>
              <w:t>镶嵌工艺的工艺流程和镶嵌原理，针对不同类型和结构需求和宝石镶嵌的大小尺寸确定其</w:t>
            </w:r>
            <w:r>
              <w:rPr>
                <w:rFonts w:hint="eastAsia"/>
                <w:b w:val="0"/>
                <w:color w:val="000000"/>
                <w:sz w:val="21"/>
                <w:szCs w:val="21"/>
              </w:rPr>
              <w:t>表现</w:t>
            </w:r>
            <w:r>
              <w:rPr>
                <w:rFonts w:hint="eastAsia"/>
                <w:b w:val="0"/>
                <w:color w:val="000000"/>
                <w:sz w:val="21"/>
                <w:szCs w:val="21"/>
                <w:lang w:val="en-US" w:eastAsia="zh-CN"/>
              </w:rPr>
              <w:t>方式</w:t>
            </w:r>
            <w:r>
              <w:rPr>
                <w:rFonts w:hint="eastAsia"/>
                <w:b w:val="0"/>
                <w:color w:val="000000"/>
                <w:sz w:val="21"/>
                <w:szCs w:val="21"/>
                <w:lang w:eastAsia="zh-CN"/>
              </w:rPr>
              <w:t>；</w:t>
            </w:r>
            <w:r>
              <w:rPr>
                <w:rFonts w:hint="eastAsia"/>
                <w:b w:val="0"/>
                <w:color w:val="000000"/>
                <w:sz w:val="21"/>
                <w:szCs w:val="21"/>
                <w:lang w:val="en-US" w:eastAsia="zh-CN"/>
              </w:rPr>
              <w:t>针对铲边镶、密钉镶、轨道镶、隐秘镶的绘制方式进行示范讲解，结合不同的首饰案例实物图片，进行分析并</w:t>
            </w:r>
            <w:r>
              <w:rPr>
                <w:rFonts w:hint="eastAsia"/>
                <w:b w:val="0"/>
                <w:bCs w:val="0"/>
                <w:color w:val="000000"/>
                <w:sz w:val="21"/>
                <w:szCs w:val="21"/>
                <w:lang w:val="en-US" w:eastAsia="zh-CN"/>
              </w:rPr>
              <w:t>绘制相应镶嵌首饰作品。</w:t>
            </w:r>
          </w:p>
          <w:p w14:paraId="6C35F923">
            <w:pPr>
              <w:widowControl w:val="0"/>
              <w:spacing w:line="240" w:lineRule="auto"/>
              <w:ind w:left="-50" w:right="-50" w:firstLine="480" w:firstLineChars="200"/>
              <w:jc w:val="both"/>
            </w:pPr>
          </w:p>
        </w:tc>
        <w:tc>
          <w:tcPr>
            <w:tcW w:w="842" w:type="dxa"/>
            <w:tcBorders>
              <w:left w:val="single" w:color="auto" w:sz="4" w:space="0"/>
              <w:right w:val="single" w:color="auto" w:sz="4" w:space="0"/>
            </w:tcBorders>
            <w:shd w:val="clear" w:color="auto" w:fill="auto"/>
            <w:vAlign w:val="center"/>
          </w:tcPr>
          <w:p w14:paraId="6604B78C">
            <w:pPr>
              <w:pStyle w:val="15"/>
              <w:rPr>
                <w:rFonts w:hint="default" w:eastAsia="宋体"/>
                <w:lang w:val="en-US" w:eastAsia="zh-CN"/>
              </w:rPr>
            </w:pPr>
            <w:r>
              <w:rPr>
                <w:rFonts w:hint="eastAsia"/>
                <w:lang w:val="en-US" w:eastAsia="zh-CN"/>
              </w:rPr>
              <w:t>10</w:t>
            </w:r>
          </w:p>
        </w:tc>
        <w:tc>
          <w:tcPr>
            <w:tcW w:w="928" w:type="dxa"/>
            <w:tcBorders>
              <w:left w:val="single" w:color="auto" w:sz="4" w:space="0"/>
              <w:right w:val="single" w:color="auto" w:sz="12" w:space="0"/>
            </w:tcBorders>
            <w:shd w:val="clear" w:color="auto" w:fill="auto"/>
            <w:vAlign w:val="center"/>
          </w:tcPr>
          <w:p w14:paraId="57C61C17">
            <w:pPr>
              <w:pStyle w:val="15"/>
            </w:pPr>
            <w:r>
              <w:rPr>
                <w:rFonts w:hint="eastAsia"/>
              </w:rPr>
              <w:t>演示型验证型</w:t>
            </w:r>
          </w:p>
        </w:tc>
      </w:tr>
      <w:tr w14:paraId="2681508F">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1351B6FE">
            <w:pPr>
              <w:pStyle w:val="15"/>
              <w:rPr>
                <w:rFonts w:hint="eastAsia" w:eastAsia="宋体"/>
                <w:lang w:val="en-US" w:eastAsia="zh-CN"/>
              </w:rPr>
            </w:pPr>
            <w:r>
              <w:rPr>
                <w:rFonts w:hint="eastAsia"/>
                <w:lang w:val="en-US" w:eastAsia="zh-CN"/>
              </w:rPr>
              <w:t>4</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6A3112B3">
            <w:pPr>
              <w:pStyle w:val="15"/>
            </w:pPr>
            <w:r>
              <w:rPr>
                <w:rFonts w:hint="eastAsia"/>
                <w:b w:val="0"/>
                <w:bCs w:val="0"/>
                <w:sz w:val="22"/>
                <w:szCs w:val="22"/>
                <w:lang w:val="en-US" w:eastAsia="zh-CN"/>
              </w:rPr>
              <w:t>综合材料特性的手绘表现</w:t>
            </w:r>
          </w:p>
        </w:tc>
        <w:tc>
          <w:tcPr>
            <w:tcW w:w="3965" w:type="dxa"/>
            <w:tcBorders>
              <w:top w:val="single" w:color="auto" w:sz="4" w:space="0"/>
              <w:left w:val="single" w:color="auto" w:sz="4" w:space="0"/>
              <w:bottom w:val="single" w:color="auto" w:sz="4" w:space="0"/>
              <w:right w:val="single" w:color="auto" w:sz="4" w:space="0"/>
            </w:tcBorders>
            <w:vAlign w:val="center"/>
          </w:tcPr>
          <w:p w14:paraId="5BE2F9F8">
            <w:pPr>
              <w:pStyle w:val="15"/>
              <w:widowControl w:val="0"/>
              <w:ind w:firstLine="420" w:firstLineChars="200"/>
              <w:jc w:val="left"/>
            </w:pPr>
            <w:r>
              <w:rPr>
                <w:rFonts w:hint="eastAsia" w:asciiTheme="minorEastAsia" w:hAnsiTheme="minorEastAsia" w:eastAsiaTheme="minorEastAsia" w:cstheme="minorEastAsia"/>
                <w:b w:val="0"/>
                <w:bCs/>
                <w:color w:val="000000"/>
                <w:sz w:val="21"/>
                <w:szCs w:val="21"/>
              </w:rPr>
              <w:t>掌握首饰设计专业绘图中不同综合材料的绘制技法，能够进行综合材料首饰的上色绘制</w:t>
            </w:r>
            <w:r>
              <w:rPr>
                <w:rFonts w:hint="eastAsia" w:asciiTheme="minorEastAsia" w:hAnsiTheme="minorEastAsia" w:eastAsiaTheme="minorEastAsia" w:cstheme="minorEastAsia"/>
                <w:b w:val="0"/>
                <w:bCs/>
                <w:color w:val="000000"/>
                <w:sz w:val="21"/>
                <w:szCs w:val="21"/>
                <w:lang w:eastAsia="zh-CN"/>
              </w:rPr>
              <w:t>。</w:t>
            </w:r>
            <w:r>
              <w:rPr>
                <w:rFonts w:hint="eastAsia" w:ascii="宋体" w:hAnsi="宋体" w:eastAsia="宋体" w:cs="宋体"/>
                <w:sz w:val="20"/>
                <w:szCs w:val="20"/>
                <w:lang w:val="en-US" w:eastAsia="zh-CN"/>
              </w:rPr>
              <w:t>可与镶嵌工艺结合的综合材料：贝壳、琉璃（亚克力）、玻璃、陶瓷、木头的物理性质和表面特征；其他工艺类型的材料体现：花丝、珐琅、钛金属氧化的工艺理论知识和绘制表现</w:t>
            </w:r>
          </w:p>
        </w:tc>
        <w:tc>
          <w:tcPr>
            <w:tcW w:w="842" w:type="dxa"/>
            <w:tcBorders>
              <w:left w:val="single" w:color="auto" w:sz="4" w:space="0"/>
              <w:bottom w:val="single" w:color="auto" w:sz="4" w:space="0"/>
              <w:right w:val="single" w:color="auto" w:sz="4" w:space="0"/>
            </w:tcBorders>
            <w:shd w:val="clear" w:color="auto" w:fill="auto"/>
            <w:vAlign w:val="center"/>
          </w:tcPr>
          <w:p w14:paraId="063AFB44">
            <w:pPr>
              <w:pStyle w:val="15"/>
              <w:rPr>
                <w:rFonts w:hint="eastAsia" w:eastAsia="宋体"/>
                <w:lang w:val="en-US" w:eastAsia="zh-CN"/>
              </w:rPr>
            </w:pPr>
            <w:r>
              <w:rPr>
                <w:rFonts w:hint="eastAsia"/>
                <w:lang w:val="en-US" w:eastAsia="zh-CN"/>
              </w:rPr>
              <w:t>4</w:t>
            </w:r>
          </w:p>
        </w:tc>
        <w:tc>
          <w:tcPr>
            <w:tcW w:w="928" w:type="dxa"/>
            <w:tcBorders>
              <w:left w:val="single" w:color="auto" w:sz="4" w:space="0"/>
              <w:bottom w:val="single" w:color="auto" w:sz="4" w:space="0"/>
              <w:right w:val="single" w:color="auto" w:sz="12" w:space="0"/>
            </w:tcBorders>
            <w:shd w:val="clear" w:color="auto" w:fill="auto"/>
            <w:vAlign w:val="center"/>
          </w:tcPr>
          <w:p w14:paraId="15F47EA6">
            <w:pPr>
              <w:pStyle w:val="15"/>
            </w:pPr>
            <w:r>
              <w:rPr>
                <w:rFonts w:hint="eastAsia"/>
              </w:rPr>
              <w:t>演示型验证型</w:t>
            </w:r>
          </w:p>
        </w:tc>
      </w:tr>
      <w:tr w14:paraId="2C6A6ECE">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48B2C0C4">
            <w:pPr>
              <w:pStyle w:val="15"/>
              <w:rPr>
                <w:rFonts w:hint="eastAsia" w:eastAsia="宋体"/>
                <w:lang w:val="en-US" w:eastAsia="zh-CN"/>
              </w:rPr>
            </w:pPr>
            <w:r>
              <w:rPr>
                <w:rFonts w:hint="eastAsia"/>
                <w:lang w:val="en-US" w:eastAsia="zh-CN"/>
              </w:rPr>
              <w:t>5</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13DEB010">
            <w:pPr>
              <w:pStyle w:val="15"/>
            </w:pPr>
            <w:r>
              <w:rPr>
                <w:rFonts w:hint="eastAsia"/>
                <w:b w:val="0"/>
                <w:bCs w:val="0"/>
                <w:sz w:val="22"/>
                <w:szCs w:val="22"/>
                <w:lang w:val="en-US" w:eastAsia="zh-CN"/>
              </w:rPr>
              <w:t>珠宝首饰综合手绘表现</w:t>
            </w:r>
          </w:p>
        </w:tc>
        <w:tc>
          <w:tcPr>
            <w:tcW w:w="3965" w:type="dxa"/>
            <w:tcBorders>
              <w:top w:val="single" w:color="auto" w:sz="4" w:space="0"/>
              <w:left w:val="single" w:color="auto" w:sz="4" w:space="0"/>
              <w:bottom w:val="single" w:color="auto" w:sz="4" w:space="0"/>
              <w:right w:val="single" w:color="auto" w:sz="4" w:space="0"/>
            </w:tcBorders>
            <w:vAlign w:val="center"/>
          </w:tcPr>
          <w:p w14:paraId="6A6168FA">
            <w:pPr>
              <w:pStyle w:val="15"/>
              <w:widowControl w:val="0"/>
              <w:jc w:val="left"/>
              <w:rPr>
                <w:rFonts w:hint="eastAsia" w:ascii="宋体" w:hAnsi="宋体" w:eastAsia="宋体" w:cs="宋体"/>
                <w:sz w:val="20"/>
                <w:szCs w:val="20"/>
                <w:lang w:val="en-US" w:eastAsia="zh-CN"/>
              </w:rPr>
            </w:pPr>
            <w:r>
              <w:rPr>
                <w:rFonts w:hint="eastAsia"/>
                <w:sz w:val="21"/>
                <w:szCs w:val="21"/>
                <w:lang w:val="en-US" w:eastAsia="zh-CN"/>
              </w:rPr>
              <w:t>掌握</w:t>
            </w:r>
            <w:r>
              <w:rPr>
                <w:rFonts w:hint="eastAsia"/>
                <w:sz w:val="21"/>
                <w:szCs w:val="21"/>
              </w:rPr>
              <w:t>首饰设计的形式美法则和平面构成对首饰设计的影响，</w:t>
            </w:r>
            <w:r>
              <w:rPr>
                <w:rFonts w:hint="eastAsia"/>
                <w:sz w:val="21"/>
                <w:szCs w:val="21"/>
                <w:lang w:val="en-US" w:eastAsia="zh-CN"/>
              </w:rPr>
              <w:t>理解</w:t>
            </w:r>
            <w:r>
              <w:rPr>
                <w:rFonts w:hint="eastAsia"/>
                <w:sz w:val="21"/>
                <w:szCs w:val="21"/>
              </w:rPr>
              <w:t>几何要素</w:t>
            </w:r>
            <w:r>
              <w:rPr>
                <w:rFonts w:hint="eastAsia"/>
                <w:sz w:val="21"/>
                <w:szCs w:val="21"/>
                <w:lang w:val="en-US" w:eastAsia="zh-CN"/>
              </w:rPr>
              <w:t>与非几何要素首饰设计</w:t>
            </w:r>
            <w:r>
              <w:rPr>
                <w:rFonts w:hint="eastAsia"/>
                <w:sz w:val="21"/>
                <w:szCs w:val="21"/>
              </w:rPr>
              <w:t>技法，收集设计</w:t>
            </w:r>
            <w:r>
              <w:rPr>
                <w:rFonts w:hint="eastAsia"/>
                <w:sz w:val="21"/>
                <w:szCs w:val="21"/>
                <w:lang w:val="en-US" w:eastAsia="zh-CN"/>
              </w:rPr>
              <w:t>案例，分析设计</w:t>
            </w:r>
            <w:r>
              <w:rPr>
                <w:rFonts w:hint="eastAsia"/>
                <w:sz w:val="21"/>
                <w:szCs w:val="21"/>
              </w:rPr>
              <w:t>素材，进行相应的设计造型和材质表现，完成</w:t>
            </w:r>
            <w:r>
              <w:rPr>
                <w:rFonts w:hint="eastAsia"/>
                <w:sz w:val="21"/>
                <w:szCs w:val="21"/>
                <w:lang w:val="en-US" w:eastAsia="zh-CN"/>
              </w:rPr>
              <w:t>综合手绘表现。</w:t>
            </w:r>
            <w:r>
              <w:rPr>
                <w:rFonts w:hint="eastAsia" w:ascii="宋体" w:hAnsi="宋体" w:eastAsia="宋体" w:cs="宋体"/>
                <w:sz w:val="20"/>
                <w:szCs w:val="20"/>
                <w:lang w:val="en-US" w:eastAsia="zh-CN"/>
              </w:rPr>
              <w:t>首饰设计形式美法则的讲解及案例运用分析，不同手绘效果的比较与应用场合讲解，综合产品设计表现的表现技法，在构图，背景，绘制材料等角度展开剖析，使学生掌握较强的实物转手绘的产品表现能力。</w:t>
            </w:r>
          </w:p>
          <w:p w14:paraId="0C87E792">
            <w:pPr>
              <w:pStyle w:val="15"/>
              <w:widowControl w:val="0"/>
              <w:jc w:val="left"/>
            </w:pPr>
          </w:p>
        </w:tc>
        <w:tc>
          <w:tcPr>
            <w:tcW w:w="842" w:type="dxa"/>
            <w:tcBorders>
              <w:left w:val="single" w:color="auto" w:sz="4" w:space="0"/>
              <w:right w:val="single" w:color="auto" w:sz="4" w:space="0"/>
            </w:tcBorders>
            <w:shd w:val="clear" w:color="auto" w:fill="auto"/>
            <w:vAlign w:val="center"/>
          </w:tcPr>
          <w:p w14:paraId="758E7458">
            <w:pPr>
              <w:pStyle w:val="15"/>
              <w:rPr>
                <w:rFonts w:hint="eastAsia" w:eastAsia="宋体"/>
                <w:lang w:val="en-US" w:eastAsia="zh-CN"/>
              </w:rPr>
            </w:pPr>
            <w:r>
              <w:rPr>
                <w:rFonts w:hint="eastAsia"/>
                <w:lang w:val="en-US" w:eastAsia="zh-CN"/>
              </w:rPr>
              <w:t>6</w:t>
            </w:r>
          </w:p>
        </w:tc>
        <w:tc>
          <w:tcPr>
            <w:tcW w:w="928" w:type="dxa"/>
            <w:tcBorders>
              <w:left w:val="single" w:color="auto" w:sz="4" w:space="0"/>
              <w:right w:val="single" w:color="auto" w:sz="12" w:space="0"/>
            </w:tcBorders>
            <w:shd w:val="clear" w:color="auto" w:fill="auto"/>
            <w:vAlign w:val="center"/>
          </w:tcPr>
          <w:p w14:paraId="2488D2CA">
            <w:pPr>
              <w:pStyle w:val="15"/>
            </w:pPr>
            <w:r>
              <w:rPr>
                <w:rFonts w:hint="eastAsia"/>
              </w:rPr>
              <w:t>验证型设计型</w:t>
            </w:r>
          </w:p>
        </w:tc>
      </w:tr>
      <w:tr w14:paraId="342D1A36">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4F1D2DB7">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3838FCC5">
      <w:pPr>
        <w:pStyle w:val="17"/>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20BAECC8">
        <w:trPr>
          <w:trHeight w:val="1128" w:hRule="atLeast"/>
        </w:trPr>
        <w:tc>
          <w:tcPr>
            <w:tcW w:w="8276" w:type="dxa"/>
            <w:vAlign w:val="center"/>
          </w:tcPr>
          <w:p w14:paraId="56EF54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sz w:val="21"/>
                <w:szCs w:val="21"/>
                <w:lang w:val="en-US" w:eastAsia="zh-CN"/>
              </w:rPr>
            </w:pPr>
            <w:r>
              <w:rPr>
                <w:rFonts w:hint="eastAsia" w:ascii="Times New Roman" w:hAnsi="Times New Roman"/>
                <w:color w:val="auto"/>
                <w:sz w:val="21"/>
                <w:szCs w:val="21"/>
              </w:rPr>
              <w:t>1</w:t>
            </w:r>
            <w:r>
              <w:rPr>
                <w:rFonts w:hint="eastAsia" w:ascii="Times New Roman" w:hAnsi="Times New Roman"/>
                <w:color w:val="auto"/>
                <w:sz w:val="21"/>
                <w:szCs w:val="21"/>
                <w:lang w:eastAsia="zh-CN"/>
              </w:rPr>
              <w:t>、</w:t>
            </w:r>
            <w:r>
              <w:rPr>
                <w:rFonts w:hint="eastAsia"/>
                <w:sz w:val="21"/>
                <w:szCs w:val="21"/>
                <w:lang w:val="en-US" w:eastAsia="zh-CN"/>
              </w:rPr>
              <w:t>培养学生的审美情趣和创新思维</w:t>
            </w:r>
          </w:p>
          <w:p w14:paraId="445C1A1B">
            <w:pPr>
              <w:widowControl w:val="0"/>
              <w:jc w:val="both"/>
              <w:rPr>
                <w:rFonts w:hint="eastAsia"/>
                <w:sz w:val="21"/>
                <w:szCs w:val="21"/>
                <w:lang w:val="en-US" w:eastAsia="zh-CN"/>
              </w:rPr>
            </w:pPr>
            <w:r>
              <w:rPr>
                <w:rFonts w:hint="eastAsia"/>
                <w:sz w:val="21"/>
                <w:szCs w:val="21"/>
                <w:lang w:val="en-US" w:eastAsia="zh-CN"/>
              </w:rPr>
              <w:t>珠宝首饰设计手绘课程旨在培养学生对珠宝首饰的审美能力和创新思维。在手绘过程中，教师引导学生观察、分析和表现珠宝首饰的美学特征和宝石的美学特征，激发学生的创作灵感。通过对不同风格、不同材质的珠宝首饰的绘制，学生可以锻炼自己的观察力和表现力，进而提高首饰设计的创新性和艺术性。</w:t>
            </w:r>
          </w:p>
          <w:p w14:paraId="7AF6F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auto"/>
                <w:sz w:val="21"/>
                <w:szCs w:val="21"/>
              </w:rPr>
            </w:pPr>
            <w:r>
              <w:rPr>
                <w:rFonts w:hint="eastAsia" w:ascii="Times New Roman" w:hAnsi="Times New Roman"/>
                <w:color w:val="auto"/>
                <w:sz w:val="21"/>
                <w:szCs w:val="21"/>
                <w:lang w:val="en-US" w:eastAsia="zh-CN"/>
              </w:rPr>
              <w:t>2</w:t>
            </w:r>
            <w:r>
              <w:rPr>
                <w:rFonts w:hint="eastAsia" w:ascii="Times New Roman" w:hAnsi="Times New Roman"/>
                <w:color w:val="auto"/>
                <w:sz w:val="21"/>
                <w:szCs w:val="21"/>
              </w:rPr>
              <w:t>、培养创新精神：鼓励学生在设计过程中发挥创新思维，培养他们的创新精神和创造力。可以通过分享创新案例、组织创新设计比赛等方式激发学生的创新潜力。</w:t>
            </w:r>
          </w:p>
          <w:p w14:paraId="523C66A8">
            <w:pPr>
              <w:widowControl w:val="0"/>
              <w:jc w:val="both"/>
              <w:rPr>
                <w:rFonts w:hint="eastAsia"/>
                <w:sz w:val="21"/>
                <w:szCs w:val="21"/>
                <w:lang w:val="en-US" w:eastAsia="zh-CN"/>
              </w:rPr>
            </w:pPr>
            <w:r>
              <w:rPr>
                <w:rFonts w:hint="eastAsia" w:ascii="Times New Roman" w:hAnsi="Times New Roman"/>
                <w:color w:val="auto"/>
                <w:sz w:val="21"/>
                <w:szCs w:val="21"/>
              </w:rPr>
              <w:t>3、</w:t>
            </w:r>
            <w:r>
              <w:rPr>
                <w:rFonts w:hint="eastAsia"/>
                <w:sz w:val="21"/>
                <w:szCs w:val="21"/>
                <w:lang w:val="en-US" w:eastAsia="zh-CN"/>
              </w:rPr>
              <w:t>强化学生的道德品质和职业素养</w:t>
            </w:r>
          </w:p>
          <w:p w14:paraId="2AD4E735">
            <w:pPr>
              <w:widowControl w:val="0"/>
              <w:jc w:val="both"/>
              <w:rPr>
                <w:rFonts w:hint="eastAsia"/>
                <w:sz w:val="21"/>
                <w:szCs w:val="21"/>
                <w:lang w:val="en-US" w:eastAsia="zh-CN"/>
              </w:rPr>
            </w:pPr>
            <w:r>
              <w:rPr>
                <w:rFonts w:hint="eastAsia"/>
                <w:sz w:val="21"/>
                <w:szCs w:val="21"/>
                <w:lang w:val="en-US" w:eastAsia="zh-CN"/>
              </w:rPr>
              <w:t>在珠宝首饰设计手绘课程中培养学生的道德品质和职业素养。教师通过引导学生关注珠宝首饰背后的文化内涵、历史传承以及社会价值，使学生在创作过程中充分认识到自己的社会责任和使命。此外，教师还可以通过案例分析，使学生了解到珠宝首饰设计师在遵循行业规范、尊重知识产权等方面的要求，从而提高学生的职业素养。</w:t>
            </w:r>
          </w:p>
          <w:p w14:paraId="77769938">
            <w:pPr>
              <w:widowControl w:val="0"/>
              <w:jc w:val="both"/>
              <w:rPr>
                <w:rFonts w:hint="eastAsia"/>
                <w:sz w:val="21"/>
                <w:szCs w:val="21"/>
                <w:lang w:val="en-US" w:eastAsia="zh-CN"/>
              </w:rPr>
            </w:pPr>
            <w:r>
              <w:rPr>
                <w:rFonts w:hint="eastAsia"/>
                <w:sz w:val="21"/>
                <w:szCs w:val="21"/>
                <w:lang w:val="en-US" w:eastAsia="zh-CN"/>
              </w:rPr>
              <w:t>4、锻炼学生的团队合作和沟通能力</w:t>
            </w:r>
          </w:p>
          <w:p w14:paraId="387B3C97">
            <w:pPr>
              <w:widowControl w:val="0"/>
              <w:jc w:val="both"/>
              <w:rPr>
                <w:rFonts w:hint="eastAsia"/>
                <w:sz w:val="21"/>
                <w:szCs w:val="21"/>
                <w:lang w:val="en-US" w:eastAsia="zh-CN"/>
              </w:rPr>
            </w:pPr>
            <w:r>
              <w:rPr>
                <w:rFonts w:hint="eastAsia"/>
                <w:sz w:val="21"/>
                <w:szCs w:val="21"/>
                <w:lang w:val="en-US" w:eastAsia="zh-CN"/>
              </w:rPr>
              <w:t>珠宝首饰设计手绘课程注重培养学生的团队合作和沟通能力。在课程中，学生可通过小组合作、课题研究等形式，共同探讨和解决设计问题。在此过程中，学生不仅能够锻炼自己的团队协作能力，还能提高与队友之间的沟通能力，为今后在职场中更好地融入团队、发挥集体智慧打下坚实基础。</w:t>
            </w:r>
          </w:p>
          <w:p w14:paraId="71C34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color w:val="auto"/>
                <w:sz w:val="21"/>
                <w:szCs w:val="21"/>
              </w:rPr>
            </w:pPr>
            <w:r>
              <w:rPr>
                <w:rFonts w:hint="eastAsia" w:ascii="Times New Roman" w:hAnsi="Times New Roman"/>
                <w:color w:val="auto"/>
                <w:sz w:val="21"/>
                <w:szCs w:val="21"/>
                <w:lang w:val="en-US" w:eastAsia="zh-CN"/>
              </w:rPr>
              <w:t>5、</w:t>
            </w:r>
            <w:r>
              <w:rPr>
                <w:rFonts w:hint="eastAsia" w:ascii="Times New Roman" w:hAnsi="Times New Roman"/>
                <w:color w:val="auto"/>
                <w:sz w:val="21"/>
                <w:szCs w:val="21"/>
              </w:rPr>
              <w:t>结合</w:t>
            </w:r>
            <w:r>
              <w:rPr>
                <w:rFonts w:hint="eastAsia" w:ascii="Times New Roman" w:hAnsi="Times New Roman"/>
                <w:color w:val="auto"/>
                <w:sz w:val="21"/>
                <w:szCs w:val="21"/>
                <w:lang w:val="en-US" w:eastAsia="zh-CN"/>
              </w:rPr>
              <w:t>行业</w:t>
            </w:r>
            <w:r>
              <w:rPr>
                <w:rFonts w:hint="eastAsia" w:ascii="Times New Roman" w:hAnsi="Times New Roman"/>
                <w:color w:val="auto"/>
                <w:sz w:val="21"/>
                <w:szCs w:val="21"/>
              </w:rPr>
              <w:t>热点</w:t>
            </w:r>
            <w:r>
              <w:rPr>
                <w:rFonts w:hint="eastAsia" w:ascii="Times New Roman" w:hAnsi="Times New Roman"/>
                <w:color w:val="auto"/>
                <w:sz w:val="21"/>
                <w:szCs w:val="21"/>
                <w:lang w:val="en-US" w:eastAsia="zh-CN"/>
              </w:rPr>
              <w:t>和社会发展需求</w:t>
            </w:r>
            <w:r>
              <w:rPr>
                <w:rFonts w:hint="eastAsia" w:ascii="Times New Roman" w:hAnsi="Times New Roman"/>
                <w:color w:val="auto"/>
                <w:sz w:val="21"/>
                <w:szCs w:val="21"/>
              </w:rPr>
              <w:t>：将课程内容与当前</w:t>
            </w:r>
            <w:r>
              <w:rPr>
                <w:rFonts w:hint="eastAsia" w:ascii="Times New Roman" w:hAnsi="Times New Roman"/>
                <w:color w:val="auto"/>
                <w:sz w:val="21"/>
                <w:szCs w:val="21"/>
                <w:lang w:val="en-US" w:eastAsia="zh-CN"/>
              </w:rPr>
              <w:t>行业</w:t>
            </w:r>
            <w:r>
              <w:rPr>
                <w:rFonts w:hint="eastAsia" w:ascii="Times New Roman" w:hAnsi="Times New Roman"/>
                <w:color w:val="auto"/>
                <w:sz w:val="21"/>
                <w:szCs w:val="21"/>
              </w:rPr>
              <w:t>热点</w:t>
            </w:r>
            <w:r>
              <w:rPr>
                <w:rFonts w:hint="eastAsia" w:ascii="Times New Roman" w:hAnsi="Times New Roman"/>
                <w:color w:val="auto"/>
                <w:sz w:val="21"/>
                <w:szCs w:val="21"/>
                <w:lang w:val="en-US" w:eastAsia="zh-CN"/>
              </w:rPr>
              <w:t>及社会发展需求</w:t>
            </w:r>
            <w:r>
              <w:rPr>
                <w:rFonts w:hint="eastAsia" w:ascii="Times New Roman" w:hAnsi="Times New Roman"/>
                <w:color w:val="auto"/>
                <w:sz w:val="21"/>
                <w:szCs w:val="21"/>
              </w:rPr>
              <w:t>相结合，引导学生关注社会动态，</w:t>
            </w:r>
            <w:r>
              <w:rPr>
                <w:rFonts w:hint="eastAsia" w:ascii="Times New Roman" w:hAnsi="Times New Roman"/>
                <w:color w:val="auto"/>
                <w:sz w:val="21"/>
                <w:szCs w:val="21"/>
                <w:lang w:val="en-US" w:eastAsia="zh-CN"/>
              </w:rPr>
              <w:t>关注行业动态和珠宝潮流走向，关注到消费群体的审美和精神需求，</w:t>
            </w:r>
            <w:r>
              <w:rPr>
                <w:rFonts w:hint="eastAsia" w:ascii="Times New Roman" w:hAnsi="Times New Roman"/>
                <w:color w:val="auto"/>
                <w:sz w:val="21"/>
                <w:szCs w:val="21"/>
              </w:rPr>
              <w:t>培养他们的</w:t>
            </w:r>
            <w:r>
              <w:rPr>
                <w:rFonts w:hint="eastAsia" w:ascii="Times New Roman" w:hAnsi="Times New Roman"/>
                <w:color w:val="auto"/>
                <w:sz w:val="21"/>
                <w:szCs w:val="21"/>
                <w:lang w:val="en-US" w:eastAsia="zh-CN"/>
              </w:rPr>
              <w:t>职业素养、</w:t>
            </w:r>
            <w:r>
              <w:rPr>
                <w:rFonts w:hint="eastAsia" w:ascii="Times New Roman" w:hAnsi="Times New Roman"/>
                <w:color w:val="auto"/>
                <w:sz w:val="21"/>
                <w:szCs w:val="21"/>
              </w:rPr>
              <w:t>社会责任感和时代使命感。</w:t>
            </w:r>
          </w:p>
          <w:p w14:paraId="07FCCDDB">
            <w:pPr>
              <w:widowControl w:val="0"/>
              <w:jc w:val="both"/>
              <w:rPr>
                <w:rFonts w:hint="default"/>
                <w:sz w:val="21"/>
                <w:szCs w:val="21"/>
                <w:lang w:val="en-US" w:eastAsia="zh-CN"/>
              </w:rPr>
            </w:pPr>
            <w:r>
              <w:rPr>
                <w:rFonts w:hint="eastAsia"/>
                <w:sz w:val="21"/>
                <w:szCs w:val="21"/>
                <w:lang w:val="en-US" w:eastAsia="zh-CN"/>
              </w:rPr>
              <w:t>6、珠宝设计工匠精神的培养</w:t>
            </w:r>
          </w:p>
          <w:p w14:paraId="44F4A250">
            <w:pPr>
              <w:widowControl w:val="0"/>
              <w:jc w:val="both"/>
              <w:rPr>
                <w:rFonts w:hint="eastAsia"/>
                <w:sz w:val="21"/>
                <w:szCs w:val="21"/>
                <w:lang w:val="en-US" w:eastAsia="zh-CN"/>
              </w:rPr>
            </w:pPr>
            <w:r>
              <w:rPr>
                <w:rFonts w:hint="eastAsia"/>
                <w:sz w:val="21"/>
                <w:szCs w:val="21"/>
                <w:lang w:val="en-US" w:eastAsia="zh-CN"/>
              </w:rPr>
              <w:t>在珠宝手绘技能培养中，教师应着力培养学生的工匠精神，使他们对待作品严谨认真，始终保持对美的追求。通过对手绘技巧的深入研究和实践，学生可以不断提高自己的手绘水平，为成为优秀的珠宝首饰设计师奠定基础。</w:t>
            </w:r>
          </w:p>
          <w:p w14:paraId="626D52AE">
            <w:pPr>
              <w:pStyle w:val="15"/>
              <w:widowControl w:val="0"/>
              <w:jc w:val="left"/>
            </w:pPr>
          </w:p>
          <w:p w14:paraId="3FEDC27C">
            <w:pPr>
              <w:pStyle w:val="15"/>
              <w:widowControl w:val="0"/>
              <w:jc w:val="left"/>
            </w:pPr>
          </w:p>
          <w:p w14:paraId="39944EF3">
            <w:pPr>
              <w:pStyle w:val="15"/>
              <w:widowControl w:val="0"/>
              <w:jc w:val="left"/>
              <w:rPr>
                <w:rFonts w:hint="eastAsia"/>
              </w:rPr>
            </w:pPr>
          </w:p>
        </w:tc>
      </w:tr>
    </w:tbl>
    <w:p w14:paraId="43F3C94C">
      <w:pPr>
        <w:pStyle w:val="17"/>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330066BE">
        <w:trPr>
          <w:trHeight w:val="454" w:hRule="atLeast"/>
        </w:trPr>
        <w:tc>
          <w:tcPr>
            <w:tcW w:w="836" w:type="dxa"/>
            <w:vMerge w:val="restart"/>
            <w:tcBorders>
              <w:top w:val="single" w:color="auto" w:sz="12" w:space="0"/>
              <w:left w:val="single" w:color="auto" w:sz="12" w:space="0"/>
            </w:tcBorders>
            <w:vAlign w:val="center"/>
          </w:tcPr>
          <w:p w14:paraId="0A9A5747">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3812C81B">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75CA1765">
            <w:pPr>
              <w:pStyle w:val="17"/>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2D69B698">
            <w:pPr>
              <w:pStyle w:val="17"/>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1C7BAC05">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01F017F2">
        <w:trPr>
          <w:trHeight w:val="454" w:hRule="atLeast"/>
        </w:trPr>
        <w:tc>
          <w:tcPr>
            <w:tcW w:w="836" w:type="dxa"/>
            <w:vMerge w:val="continue"/>
            <w:tcBorders>
              <w:left w:val="single" w:color="auto" w:sz="12" w:space="0"/>
            </w:tcBorders>
            <w:vAlign w:val="top"/>
          </w:tcPr>
          <w:p w14:paraId="547C90AE">
            <w:pPr>
              <w:widowControl w:val="0"/>
              <w:snapToGrid w:val="0"/>
              <w:jc w:val="center"/>
              <w:rPr>
                <w:rFonts w:ascii="黑体" w:hAnsi="黑体" w:eastAsia="黑体"/>
                <w:bCs/>
                <w:sz w:val="21"/>
                <w:szCs w:val="21"/>
              </w:rPr>
            </w:pPr>
          </w:p>
        </w:tc>
        <w:tc>
          <w:tcPr>
            <w:tcW w:w="709" w:type="dxa"/>
            <w:vMerge w:val="continue"/>
            <w:vAlign w:val="top"/>
          </w:tcPr>
          <w:p w14:paraId="69142602">
            <w:pPr>
              <w:pStyle w:val="17"/>
              <w:widowControl w:val="0"/>
              <w:jc w:val="both"/>
              <w:rPr>
                <w:rFonts w:ascii="黑体" w:hAnsi="黑体"/>
                <w:bCs/>
                <w:sz w:val="21"/>
                <w:szCs w:val="21"/>
              </w:rPr>
            </w:pPr>
          </w:p>
        </w:tc>
        <w:tc>
          <w:tcPr>
            <w:tcW w:w="2353" w:type="dxa"/>
            <w:vMerge w:val="continue"/>
            <w:tcBorders>
              <w:right w:val="double" w:color="auto" w:sz="4" w:space="0"/>
            </w:tcBorders>
            <w:vAlign w:val="top"/>
          </w:tcPr>
          <w:p w14:paraId="43885A42">
            <w:pPr>
              <w:pStyle w:val="17"/>
              <w:widowControl w:val="0"/>
              <w:jc w:val="both"/>
              <w:rPr>
                <w:rFonts w:ascii="黑体" w:hAnsi="黑体"/>
                <w:bCs/>
                <w:sz w:val="21"/>
                <w:szCs w:val="21"/>
              </w:rPr>
            </w:pPr>
          </w:p>
        </w:tc>
        <w:tc>
          <w:tcPr>
            <w:tcW w:w="612" w:type="dxa"/>
            <w:tcBorders>
              <w:left w:val="double" w:color="auto" w:sz="4" w:space="0"/>
            </w:tcBorders>
            <w:vAlign w:val="center"/>
          </w:tcPr>
          <w:p w14:paraId="76A63632">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14:paraId="2F34C6FB">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14:paraId="45375B97">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14:paraId="39DB7DF8">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14:paraId="2E0473EA">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612" w:type="dxa"/>
            <w:vAlign w:val="center"/>
          </w:tcPr>
          <w:p w14:paraId="097BDB8D">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6</w:t>
            </w:r>
          </w:p>
        </w:tc>
        <w:tc>
          <w:tcPr>
            <w:tcW w:w="706" w:type="dxa"/>
            <w:vMerge w:val="continue"/>
            <w:tcBorders>
              <w:right w:val="single" w:color="auto" w:sz="12" w:space="0"/>
            </w:tcBorders>
            <w:vAlign w:val="top"/>
          </w:tcPr>
          <w:p w14:paraId="57024507">
            <w:pPr>
              <w:pStyle w:val="17"/>
              <w:widowControl w:val="0"/>
              <w:spacing w:line="240" w:lineRule="auto"/>
              <w:jc w:val="center"/>
              <w:rPr>
                <w:rFonts w:ascii="黑体" w:hAnsi="黑体"/>
                <w:bCs/>
                <w:sz w:val="21"/>
                <w:szCs w:val="21"/>
              </w:rPr>
            </w:pPr>
          </w:p>
        </w:tc>
      </w:tr>
      <w:tr w14:paraId="77EFEF40">
        <w:trPr>
          <w:trHeight w:val="454" w:hRule="atLeast"/>
        </w:trPr>
        <w:tc>
          <w:tcPr>
            <w:tcW w:w="836" w:type="dxa"/>
            <w:tcBorders>
              <w:left w:val="single" w:color="auto" w:sz="12" w:space="0"/>
            </w:tcBorders>
            <w:vAlign w:val="center"/>
          </w:tcPr>
          <w:p w14:paraId="09544715">
            <w:pPr>
              <w:widowControl w:val="0"/>
              <w:snapToGrid w:val="0"/>
              <w:jc w:val="center"/>
              <w:rPr>
                <w:rFonts w:ascii="Arial" w:hAnsi="Arial" w:eastAsia="黑体" w:cs="Arial"/>
                <w:bCs/>
                <w:sz w:val="21"/>
                <w:szCs w:val="21"/>
              </w:rPr>
            </w:pPr>
            <w:bookmarkStart w:id="6" w:name="_GoBack" w:colFirst="2" w:colLast="2"/>
            <w:r>
              <w:rPr>
                <w:rFonts w:ascii="Arial" w:hAnsi="Arial" w:eastAsia="黑体" w:cs="Arial"/>
                <w:bCs/>
                <w:sz w:val="21"/>
                <w:szCs w:val="21"/>
              </w:rPr>
              <w:t>X1</w:t>
            </w:r>
          </w:p>
        </w:tc>
        <w:tc>
          <w:tcPr>
            <w:tcW w:w="709" w:type="dxa"/>
            <w:vAlign w:val="center"/>
          </w:tcPr>
          <w:p w14:paraId="06358980">
            <w:pPr>
              <w:widowControl w:val="0"/>
              <w:jc w:val="both"/>
              <w:rPr>
                <w:rFonts w:hint="default" w:eastAsia="宋体"/>
                <w:lang w:val="en-US" w:eastAsia="zh-CN"/>
              </w:rPr>
            </w:pPr>
            <w:r>
              <w:rPr>
                <w:rFonts w:hint="eastAsia"/>
                <w:lang w:val="en-US" w:eastAsia="zh-CN"/>
              </w:rPr>
              <w:t>25%</w:t>
            </w:r>
          </w:p>
        </w:tc>
        <w:tc>
          <w:tcPr>
            <w:tcW w:w="2353" w:type="dxa"/>
            <w:tcBorders>
              <w:right w:val="double" w:color="auto" w:sz="4" w:space="0"/>
            </w:tcBorders>
            <w:vAlign w:val="center"/>
          </w:tcPr>
          <w:p w14:paraId="79ED9480">
            <w:pPr>
              <w:widowControl w:val="0"/>
              <w:jc w:val="center"/>
            </w:pPr>
            <w:r>
              <w:rPr>
                <w:rFonts w:hint="eastAsia" w:asciiTheme="minorEastAsia" w:hAnsiTheme="minorEastAsia" w:eastAsiaTheme="minorEastAsia"/>
                <w:sz w:val="20"/>
                <w:szCs w:val="20"/>
              </w:rPr>
              <w:t>作品</w:t>
            </w:r>
          </w:p>
        </w:tc>
        <w:tc>
          <w:tcPr>
            <w:tcW w:w="612" w:type="dxa"/>
            <w:tcBorders>
              <w:left w:val="double" w:color="auto" w:sz="4" w:space="0"/>
            </w:tcBorders>
            <w:vAlign w:val="center"/>
          </w:tcPr>
          <w:p w14:paraId="3C476F64">
            <w:pPr>
              <w:pStyle w:val="15"/>
              <w:widowControl w:val="0"/>
              <w:rPr>
                <w:rFonts w:hint="default" w:eastAsia="宋体"/>
                <w:lang w:val="en-US" w:eastAsia="zh-CN"/>
              </w:rPr>
            </w:pPr>
            <w:r>
              <w:rPr>
                <w:rFonts w:hint="eastAsia"/>
                <w:lang w:val="en-US" w:eastAsia="zh-CN"/>
              </w:rPr>
              <w:t>30</w:t>
            </w:r>
          </w:p>
        </w:tc>
        <w:tc>
          <w:tcPr>
            <w:tcW w:w="612" w:type="dxa"/>
            <w:vAlign w:val="center"/>
          </w:tcPr>
          <w:p w14:paraId="666275A9">
            <w:pPr>
              <w:pStyle w:val="15"/>
              <w:widowControl w:val="0"/>
              <w:rPr>
                <w:rFonts w:hint="default" w:eastAsia="宋体"/>
                <w:lang w:val="en-US" w:eastAsia="zh-CN"/>
              </w:rPr>
            </w:pPr>
            <w:r>
              <w:rPr>
                <w:rFonts w:hint="eastAsia"/>
                <w:lang w:val="en-US" w:eastAsia="zh-CN"/>
              </w:rPr>
              <w:t>30</w:t>
            </w:r>
          </w:p>
        </w:tc>
        <w:tc>
          <w:tcPr>
            <w:tcW w:w="612" w:type="dxa"/>
            <w:vAlign w:val="center"/>
          </w:tcPr>
          <w:p w14:paraId="06C3C91B">
            <w:pPr>
              <w:pStyle w:val="15"/>
              <w:widowControl w:val="0"/>
            </w:pPr>
          </w:p>
        </w:tc>
        <w:tc>
          <w:tcPr>
            <w:tcW w:w="612" w:type="dxa"/>
            <w:vAlign w:val="center"/>
          </w:tcPr>
          <w:p w14:paraId="674A573B">
            <w:pPr>
              <w:pStyle w:val="15"/>
              <w:widowControl w:val="0"/>
            </w:pPr>
          </w:p>
        </w:tc>
        <w:tc>
          <w:tcPr>
            <w:tcW w:w="612" w:type="dxa"/>
            <w:vAlign w:val="center"/>
          </w:tcPr>
          <w:p w14:paraId="4FD88534">
            <w:pPr>
              <w:pStyle w:val="15"/>
              <w:widowControl w:val="0"/>
              <w:rPr>
                <w:rFonts w:hint="default" w:eastAsia="宋体"/>
                <w:lang w:val="en-US" w:eastAsia="zh-CN"/>
              </w:rPr>
            </w:pPr>
            <w:r>
              <w:rPr>
                <w:rFonts w:hint="eastAsia"/>
                <w:lang w:val="en-US" w:eastAsia="zh-CN"/>
              </w:rPr>
              <w:t>20</w:t>
            </w:r>
          </w:p>
        </w:tc>
        <w:tc>
          <w:tcPr>
            <w:tcW w:w="612" w:type="dxa"/>
            <w:vAlign w:val="center"/>
          </w:tcPr>
          <w:p w14:paraId="20BF3AF9">
            <w:pPr>
              <w:pStyle w:val="15"/>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14:paraId="6F1BCC7F">
            <w:pPr>
              <w:pStyle w:val="15"/>
              <w:widowControl w:val="0"/>
            </w:pPr>
            <w:r>
              <w:rPr>
                <w:rFonts w:hint="eastAsia"/>
              </w:rPr>
              <w:t>1</w:t>
            </w:r>
            <w:r>
              <w:t>00</w:t>
            </w:r>
          </w:p>
        </w:tc>
      </w:tr>
      <w:tr w14:paraId="09477ECD">
        <w:trPr>
          <w:trHeight w:val="454" w:hRule="atLeast"/>
        </w:trPr>
        <w:tc>
          <w:tcPr>
            <w:tcW w:w="836" w:type="dxa"/>
            <w:tcBorders>
              <w:left w:val="single" w:color="auto" w:sz="12" w:space="0"/>
            </w:tcBorders>
            <w:vAlign w:val="center"/>
          </w:tcPr>
          <w:p w14:paraId="45C4BB28">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1AB3A48D">
            <w:pPr>
              <w:widowControl w:val="0"/>
              <w:jc w:val="both"/>
              <w:rPr>
                <w:rFonts w:hint="eastAsia"/>
                <w:lang w:val="en-US" w:eastAsia="zh-CN"/>
              </w:rPr>
            </w:pPr>
            <w:r>
              <w:rPr>
                <w:rFonts w:hint="eastAsia"/>
                <w:lang w:val="en-US" w:eastAsia="zh-CN"/>
              </w:rPr>
              <w:t>20%</w:t>
            </w:r>
          </w:p>
        </w:tc>
        <w:tc>
          <w:tcPr>
            <w:tcW w:w="2353" w:type="dxa"/>
            <w:tcBorders>
              <w:right w:val="double" w:color="auto" w:sz="4" w:space="0"/>
            </w:tcBorders>
            <w:vAlign w:val="center"/>
          </w:tcPr>
          <w:p w14:paraId="19161897">
            <w:pPr>
              <w:widowControl w:val="0"/>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rPr>
              <w:t>作品</w:t>
            </w:r>
          </w:p>
        </w:tc>
        <w:tc>
          <w:tcPr>
            <w:tcW w:w="612" w:type="dxa"/>
            <w:tcBorders>
              <w:left w:val="double" w:color="auto" w:sz="4" w:space="0"/>
            </w:tcBorders>
            <w:vAlign w:val="center"/>
          </w:tcPr>
          <w:p w14:paraId="029BC571">
            <w:pPr>
              <w:pStyle w:val="15"/>
              <w:widowControl w:val="0"/>
              <w:rPr>
                <w:rFonts w:hint="eastAsia"/>
                <w:lang w:val="en-US" w:eastAsia="zh-CN"/>
              </w:rPr>
            </w:pPr>
          </w:p>
        </w:tc>
        <w:tc>
          <w:tcPr>
            <w:tcW w:w="612" w:type="dxa"/>
            <w:vAlign w:val="center"/>
          </w:tcPr>
          <w:p w14:paraId="73E88328">
            <w:pPr>
              <w:pStyle w:val="15"/>
              <w:widowControl w:val="0"/>
              <w:rPr>
                <w:rFonts w:hint="eastAsia"/>
                <w:lang w:val="en-US" w:eastAsia="zh-CN"/>
              </w:rPr>
            </w:pPr>
          </w:p>
        </w:tc>
        <w:tc>
          <w:tcPr>
            <w:tcW w:w="612" w:type="dxa"/>
            <w:vAlign w:val="center"/>
          </w:tcPr>
          <w:p w14:paraId="34B8B5D1">
            <w:pPr>
              <w:pStyle w:val="15"/>
              <w:widowControl w:val="0"/>
            </w:pPr>
            <w:r>
              <w:rPr>
                <w:rFonts w:hint="eastAsia"/>
                <w:lang w:val="en-US" w:eastAsia="zh-CN"/>
              </w:rPr>
              <w:t>60</w:t>
            </w:r>
          </w:p>
        </w:tc>
        <w:tc>
          <w:tcPr>
            <w:tcW w:w="612" w:type="dxa"/>
            <w:vAlign w:val="center"/>
          </w:tcPr>
          <w:p w14:paraId="2AE05FE7">
            <w:pPr>
              <w:pStyle w:val="15"/>
              <w:widowControl w:val="0"/>
            </w:pPr>
          </w:p>
        </w:tc>
        <w:tc>
          <w:tcPr>
            <w:tcW w:w="612" w:type="dxa"/>
            <w:vAlign w:val="center"/>
          </w:tcPr>
          <w:p w14:paraId="7AEEF754">
            <w:pPr>
              <w:pStyle w:val="15"/>
              <w:widowControl w:val="0"/>
              <w:rPr>
                <w:rFonts w:hint="eastAsia"/>
                <w:lang w:val="en-US" w:eastAsia="zh-CN"/>
              </w:rPr>
            </w:pPr>
            <w:r>
              <w:rPr>
                <w:rFonts w:hint="eastAsia"/>
                <w:lang w:val="en-US" w:eastAsia="zh-CN"/>
              </w:rPr>
              <w:t>20</w:t>
            </w:r>
          </w:p>
        </w:tc>
        <w:tc>
          <w:tcPr>
            <w:tcW w:w="612" w:type="dxa"/>
            <w:vAlign w:val="center"/>
          </w:tcPr>
          <w:p w14:paraId="38B8C3FF">
            <w:pPr>
              <w:pStyle w:val="15"/>
              <w:widowControl w:val="0"/>
              <w:rPr>
                <w:rFonts w:hint="eastAsia"/>
                <w:lang w:val="en-US" w:eastAsia="zh-CN"/>
              </w:rPr>
            </w:pPr>
            <w:r>
              <w:rPr>
                <w:rFonts w:hint="eastAsia"/>
                <w:lang w:val="en-US" w:eastAsia="zh-CN"/>
              </w:rPr>
              <w:t>20</w:t>
            </w:r>
          </w:p>
        </w:tc>
        <w:tc>
          <w:tcPr>
            <w:tcW w:w="706" w:type="dxa"/>
            <w:tcBorders>
              <w:right w:val="single" w:color="auto" w:sz="12" w:space="0"/>
            </w:tcBorders>
            <w:vAlign w:val="center"/>
          </w:tcPr>
          <w:p w14:paraId="3BE352FA">
            <w:pPr>
              <w:pStyle w:val="15"/>
              <w:widowControl w:val="0"/>
              <w:rPr>
                <w:rFonts w:hint="eastAsia"/>
              </w:rPr>
            </w:pPr>
            <w:r>
              <w:rPr>
                <w:rFonts w:hint="eastAsia"/>
              </w:rPr>
              <w:t>1</w:t>
            </w:r>
            <w:r>
              <w:t>00</w:t>
            </w:r>
          </w:p>
        </w:tc>
      </w:tr>
      <w:tr w14:paraId="0A890EB9">
        <w:trPr>
          <w:trHeight w:val="454" w:hRule="atLeast"/>
        </w:trPr>
        <w:tc>
          <w:tcPr>
            <w:tcW w:w="836" w:type="dxa"/>
            <w:tcBorders>
              <w:left w:val="single" w:color="auto" w:sz="12" w:space="0"/>
            </w:tcBorders>
            <w:vAlign w:val="center"/>
          </w:tcPr>
          <w:p w14:paraId="146626CB">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059157BA">
            <w:pPr>
              <w:widowControl w:val="0"/>
              <w:jc w:val="both"/>
              <w:rPr>
                <w:rFonts w:hint="eastAsia"/>
                <w:lang w:val="en-US" w:eastAsia="zh-CN"/>
              </w:rPr>
            </w:pPr>
            <w:r>
              <w:rPr>
                <w:rFonts w:hint="eastAsia"/>
                <w:lang w:val="en-US" w:eastAsia="zh-CN"/>
              </w:rPr>
              <w:t>20%</w:t>
            </w:r>
          </w:p>
        </w:tc>
        <w:tc>
          <w:tcPr>
            <w:tcW w:w="2353" w:type="dxa"/>
            <w:tcBorders>
              <w:right w:val="double" w:color="auto" w:sz="4" w:space="0"/>
            </w:tcBorders>
            <w:vAlign w:val="center"/>
          </w:tcPr>
          <w:p w14:paraId="28D13C97">
            <w:pPr>
              <w:widowControl w:val="0"/>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rPr>
              <w:t>作品</w:t>
            </w:r>
          </w:p>
        </w:tc>
        <w:tc>
          <w:tcPr>
            <w:tcW w:w="612" w:type="dxa"/>
            <w:tcBorders>
              <w:left w:val="double" w:color="auto" w:sz="4" w:space="0"/>
            </w:tcBorders>
            <w:vAlign w:val="center"/>
          </w:tcPr>
          <w:p w14:paraId="1ED32383">
            <w:pPr>
              <w:pStyle w:val="15"/>
              <w:widowControl w:val="0"/>
              <w:rPr>
                <w:rFonts w:hint="eastAsia"/>
                <w:lang w:val="en-US" w:eastAsia="zh-CN"/>
              </w:rPr>
            </w:pPr>
          </w:p>
        </w:tc>
        <w:tc>
          <w:tcPr>
            <w:tcW w:w="612" w:type="dxa"/>
            <w:vAlign w:val="center"/>
          </w:tcPr>
          <w:p w14:paraId="31C97351">
            <w:pPr>
              <w:pStyle w:val="15"/>
              <w:widowControl w:val="0"/>
              <w:rPr>
                <w:rFonts w:hint="eastAsia"/>
                <w:lang w:val="en-US" w:eastAsia="zh-CN"/>
              </w:rPr>
            </w:pPr>
          </w:p>
        </w:tc>
        <w:tc>
          <w:tcPr>
            <w:tcW w:w="612" w:type="dxa"/>
            <w:vAlign w:val="center"/>
          </w:tcPr>
          <w:p w14:paraId="29E46C24">
            <w:pPr>
              <w:pStyle w:val="15"/>
              <w:widowControl w:val="0"/>
            </w:pPr>
          </w:p>
        </w:tc>
        <w:tc>
          <w:tcPr>
            <w:tcW w:w="612" w:type="dxa"/>
            <w:vAlign w:val="center"/>
          </w:tcPr>
          <w:p w14:paraId="701A943D">
            <w:pPr>
              <w:pStyle w:val="15"/>
              <w:widowControl w:val="0"/>
            </w:pPr>
            <w:r>
              <w:rPr>
                <w:rFonts w:hint="eastAsia"/>
                <w:lang w:val="en-US" w:eastAsia="zh-CN"/>
              </w:rPr>
              <w:t>60</w:t>
            </w:r>
          </w:p>
        </w:tc>
        <w:tc>
          <w:tcPr>
            <w:tcW w:w="612" w:type="dxa"/>
            <w:vAlign w:val="center"/>
          </w:tcPr>
          <w:p w14:paraId="22F67A48">
            <w:pPr>
              <w:pStyle w:val="15"/>
              <w:widowControl w:val="0"/>
              <w:rPr>
                <w:rFonts w:hint="eastAsia"/>
                <w:lang w:val="en-US" w:eastAsia="zh-CN"/>
              </w:rPr>
            </w:pPr>
            <w:r>
              <w:rPr>
                <w:rFonts w:hint="eastAsia"/>
                <w:lang w:val="en-US" w:eastAsia="zh-CN"/>
              </w:rPr>
              <w:t>20</w:t>
            </w:r>
          </w:p>
        </w:tc>
        <w:tc>
          <w:tcPr>
            <w:tcW w:w="612" w:type="dxa"/>
            <w:vAlign w:val="center"/>
          </w:tcPr>
          <w:p w14:paraId="4907D790">
            <w:pPr>
              <w:pStyle w:val="15"/>
              <w:widowControl w:val="0"/>
              <w:rPr>
                <w:rFonts w:hint="eastAsia"/>
                <w:lang w:val="en-US" w:eastAsia="zh-CN"/>
              </w:rPr>
            </w:pPr>
            <w:r>
              <w:rPr>
                <w:rFonts w:hint="eastAsia"/>
                <w:lang w:val="en-US" w:eastAsia="zh-CN"/>
              </w:rPr>
              <w:t>20</w:t>
            </w:r>
          </w:p>
        </w:tc>
        <w:tc>
          <w:tcPr>
            <w:tcW w:w="706" w:type="dxa"/>
            <w:tcBorders>
              <w:right w:val="single" w:color="auto" w:sz="12" w:space="0"/>
            </w:tcBorders>
            <w:vAlign w:val="center"/>
          </w:tcPr>
          <w:p w14:paraId="6B047206">
            <w:pPr>
              <w:pStyle w:val="15"/>
              <w:widowControl w:val="0"/>
              <w:rPr>
                <w:rFonts w:hint="eastAsia"/>
              </w:rPr>
            </w:pPr>
            <w:r>
              <w:rPr>
                <w:rFonts w:hint="eastAsia"/>
              </w:rPr>
              <w:t>1</w:t>
            </w:r>
            <w:r>
              <w:t>00</w:t>
            </w:r>
          </w:p>
        </w:tc>
      </w:tr>
      <w:tr w14:paraId="271D521E">
        <w:trPr>
          <w:trHeight w:val="454" w:hRule="atLeast"/>
        </w:trPr>
        <w:tc>
          <w:tcPr>
            <w:tcW w:w="836" w:type="dxa"/>
            <w:tcBorders>
              <w:left w:val="single" w:color="auto" w:sz="12" w:space="0"/>
            </w:tcBorders>
            <w:vAlign w:val="center"/>
          </w:tcPr>
          <w:p w14:paraId="788CE6AA">
            <w:pPr>
              <w:widowControl w:val="0"/>
              <w:snapToGrid w:val="0"/>
              <w:jc w:val="center"/>
              <w:rPr>
                <w:rFonts w:hint="default" w:ascii="Arial" w:hAnsi="Arial" w:eastAsia="黑体" w:cs="Arial"/>
                <w:bCs/>
                <w:sz w:val="21"/>
                <w:szCs w:val="21"/>
                <w:lang w:val="en-US" w:eastAsia="zh-CN"/>
              </w:rPr>
            </w:pPr>
            <w:r>
              <w:rPr>
                <w:rFonts w:ascii="Arial" w:hAnsi="Arial" w:eastAsia="黑体" w:cs="Arial"/>
                <w:bCs/>
                <w:sz w:val="21"/>
                <w:szCs w:val="21"/>
              </w:rPr>
              <w:t>X4</w:t>
            </w:r>
          </w:p>
        </w:tc>
        <w:tc>
          <w:tcPr>
            <w:tcW w:w="709" w:type="dxa"/>
            <w:vAlign w:val="center"/>
          </w:tcPr>
          <w:p w14:paraId="6883CF8F">
            <w:pPr>
              <w:widowControl w:val="0"/>
              <w:jc w:val="both"/>
              <w:rPr>
                <w:rFonts w:hint="default"/>
                <w:lang w:val="en-US" w:eastAsia="zh-CN"/>
              </w:rPr>
            </w:pPr>
            <w:r>
              <w:rPr>
                <w:rFonts w:hint="eastAsia"/>
                <w:lang w:val="en-US" w:eastAsia="zh-CN"/>
              </w:rPr>
              <w:t>10%</w:t>
            </w:r>
          </w:p>
        </w:tc>
        <w:tc>
          <w:tcPr>
            <w:tcW w:w="2353" w:type="dxa"/>
            <w:tcBorders>
              <w:right w:val="double" w:color="auto" w:sz="4" w:space="0"/>
            </w:tcBorders>
            <w:vAlign w:val="center"/>
          </w:tcPr>
          <w:p w14:paraId="2284FB31">
            <w:pPr>
              <w:widowControl w:val="0"/>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rPr>
              <w:t>作品</w:t>
            </w:r>
          </w:p>
        </w:tc>
        <w:tc>
          <w:tcPr>
            <w:tcW w:w="612" w:type="dxa"/>
            <w:tcBorders>
              <w:left w:val="double" w:color="auto" w:sz="4" w:space="0"/>
            </w:tcBorders>
            <w:vAlign w:val="center"/>
          </w:tcPr>
          <w:p w14:paraId="19720CD0">
            <w:pPr>
              <w:pStyle w:val="15"/>
              <w:widowControl w:val="0"/>
              <w:rPr>
                <w:rFonts w:hint="default"/>
                <w:lang w:val="en-US" w:eastAsia="zh-CN"/>
              </w:rPr>
            </w:pPr>
          </w:p>
        </w:tc>
        <w:tc>
          <w:tcPr>
            <w:tcW w:w="612" w:type="dxa"/>
            <w:vAlign w:val="center"/>
          </w:tcPr>
          <w:p w14:paraId="744215DA">
            <w:pPr>
              <w:pStyle w:val="15"/>
              <w:widowControl w:val="0"/>
              <w:rPr>
                <w:rFonts w:hint="default"/>
                <w:lang w:val="en-US" w:eastAsia="zh-CN"/>
              </w:rPr>
            </w:pPr>
          </w:p>
        </w:tc>
        <w:tc>
          <w:tcPr>
            <w:tcW w:w="612" w:type="dxa"/>
            <w:vAlign w:val="center"/>
          </w:tcPr>
          <w:p w14:paraId="3A55BAD9">
            <w:pPr>
              <w:pStyle w:val="15"/>
              <w:widowControl w:val="0"/>
            </w:pPr>
          </w:p>
        </w:tc>
        <w:tc>
          <w:tcPr>
            <w:tcW w:w="612" w:type="dxa"/>
            <w:vAlign w:val="center"/>
          </w:tcPr>
          <w:p w14:paraId="00516D14">
            <w:pPr>
              <w:pStyle w:val="15"/>
              <w:widowControl w:val="0"/>
            </w:pPr>
            <w:r>
              <w:rPr>
                <w:rFonts w:hint="eastAsia"/>
                <w:lang w:val="en-US" w:eastAsia="zh-CN"/>
              </w:rPr>
              <w:t>60</w:t>
            </w:r>
          </w:p>
        </w:tc>
        <w:tc>
          <w:tcPr>
            <w:tcW w:w="612" w:type="dxa"/>
            <w:vAlign w:val="center"/>
          </w:tcPr>
          <w:p w14:paraId="19763C7B">
            <w:pPr>
              <w:pStyle w:val="15"/>
              <w:widowControl w:val="0"/>
              <w:rPr>
                <w:rFonts w:hint="default"/>
                <w:lang w:val="en-US" w:eastAsia="zh-CN"/>
              </w:rPr>
            </w:pPr>
            <w:r>
              <w:rPr>
                <w:rFonts w:hint="eastAsia"/>
                <w:lang w:val="en-US" w:eastAsia="zh-CN"/>
              </w:rPr>
              <w:t>20</w:t>
            </w:r>
          </w:p>
        </w:tc>
        <w:tc>
          <w:tcPr>
            <w:tcW w:w="612" w:type="dxa"/>
            <w:vAlign w:val="center"/>
          </w:tcPr>
          <w:p w14:paraId="11C7DEC6">
            <w:pPr>
              <w:pStyle w:val="15"/>
              <w:widowControl w:val="0"/>
              <w:rPr>
                <w:rFonts w:hint="default"/>
                <w:lang w:val="en-US" w:eastAsia="zh-CN"/>
              </w:rPr>
            </w:pPr>
            <w:r>
              <w:rPr>
                <w:rFonts w:hint="eastAsia"/>
                <w:lang w:val="en-US" w:eastAsia="zh-CN"/>
              </w:rPr>
              <w:t>20</w:t>
            </w:r>
          </w:p>
        </w:tc>
        <w:tc>
          <w:tcPr>
            <w:tcW w:w="706" w:type="dxa"/>
            <w:tcBorders>
              <w:right w:val="single" w:color="auto" w:sz="12" w:space="0"/>
            </w:tcBorders>
            <w:vAlign w:val="center"/>
          </w:tcPr>
          <w:p w14:paraId="1EF1272C">
            <w:pPr>
              <w:pStyle w:val="15"/>
              <w:widowControl w:val="0"/>
              <w:rPr>
                <w:rFonts w:hint="default" w:eastAsia="宋体"/>
                <w:lang w:val="en-US" w:eastAsia="zh-CN"/>
              </w:rPr>
            </w:pPr>
            <w:r>
              <w:rPr>
                <w:rFonts w:hint="eastAsia"/>
              </w:rPr>
              <w:t>1</w:t>
            </w:r>
            <w:r>
              <w:t>00</w:t>
            </w:r>
          </w:p>
        </w:tc>
      </w:tr>
      <w:tr w14:paraId="3DA63E02">
        <w:trPr>
          <w:trHeight w:val="454" w:hRule="atLeast"/>
        </w:trPr>
        <w:tc>
          <w:tcPr>
            <w:tcW w:w="836" w:type="dxa"/>
            <w:tcBorders>
              <w:left w:val="single" w:color="auto" w:sz="12" w:space="0"/>
            </w:tcBorders>
            <w:vAlign w:val="center"/>
          </w:tcPr>
          <w:p w14:paraId="549456AE">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X5</w:t>
            </w:r>
          </w:p>
        </w:tc>
        <w:tc>
          <w:tcPr>
            <w:tcW w:w="709" w:type="dxa"/>
            <w:vAlign w:val="center"/>
          </w:tcPr>
          <w:p w14:paraId="4C03879D">
            <w:pPr>
              <w:widowControl w:val="0"/>
              <w:jc w:val="both"/>
              <w:rPr>
                <w:rFonts w:hint="default" w:eastAsia="宋体"/>
                <w:lang w:val="en-US" w:eastAsia="zh-CN"/>
              </w:rPr>
            </w:pPr>
            <w:r>
              <w:rPr>
                <w:rFonts w:hint="eastAsia"/>
                <w:lang w:val="en-US" w:eastAsia="zh-CN"/>
              </w:rPr>
              <w:t>25%</w:t>
            </w:r>
          </w:p>
        </w:tc>
        <w:tc>
          <w:tcPr>
            <w:tcW w:w="2353" w:type="dxa"/>
            <w:tcBorders>
              <w:right w:val="double" w:color="auto" w:sz="4" w:space="0"/>
            </w:tcBorders>
            <w:vAlign w:val="center"/>
          </w:tcPr>
          <w:p w14:paraId="6266D5C4">
            <w:pPr>
              <w:widowControl w:val="0"/>
              <w:jc w:val="center"/>
            </w:pPr>
            <w:r>
              <w:rPr>
                <w:rFonts w:hint="eastAsia" w:asciiTheme="minorEastAsia" w:hAnsiTheme="minorEastAsia" w:eastAsiaTheme="minorEastAsia"/>
                <w:sz w:val="20"/>
                <w:szCs w:val="20"/>
              </w:rPr>
              <w:t>作品</w:t>
            </w:r>
          </w:p>
        </w:tc>
        <w:tc>
          <w:tcPr>
            <w:tcW w:w="612" w:type="dxa"/>
            <w:tcBorders>
              <w:left w:val="double" w:color="auto" w:sz="4" w:space="0"/>
            </w:tcBorders>
            <w:vAlign w:val="center"/>
          </w:tcPr>
          <w:p w14:paraId="2462B969">
            <w:pPr>
              <w:pStyle w:val="15"/>
              <w:widowControl w:val="0"/>
            </w:pPr>
            <w:r>
              <w:rPr>
                <w:rFonts w:hint="eastAsia"/>
                <w:lang w:val="en-US" w:eastAsia="zh-CN"/>
              </w:rPr>
              <w:t>15</w:t>
            </w:r>
          </w:p>
        </w:tc>
        <w:tc>
          <w:tcPr>
            <w:tcW w:w="612" w:type="dxa"/>
            <w:vAlign w:val="center"/>
          </w:tcPr>
          <w:p w14:paraId="5EC176A1">
            <w:pPr>
              <w:pStyle w:val="15"/>
              <w:widowControl w:val="0"/>
            </w:pPr>
            <w:r>
              <w:rPr>
                <w:rFonts w:hint="eastAsia"/>
                <w:lang w:val="en-US" w:eastAsia="zh-CN"/>
              </w:rPr>
              <w:t>15</w:t>
            </w:r>
          </w:p>
        </w:tc>
        <w:tc>
          <w:tcPr>
            <w:tcW w:w="612" w:type="dxa"/>
            <w:vAlign w:val="center"/>
          </w:tcPr>
          <w:p w14:paraId="2CBCF1B6">
            <w:pPr>
              <w:pStyle w:val="15"/>
              <w:widowControl w:val="0"/>
              <w:rPr>
                <w:rFonts w:hint="default" w:eastAsia="宋体"/>
                <w:lang w:val="en-US" w:eastAsia="zh-CN"/>
              </w:rPr>
            </w:pPr>
            <w:r>
              <w:rPr>
                <w:rFonts w:hint="eastAsia"/>
                <w:lang w:val="en-US" w:eastAsia="zh-CN"/>
              </w:rPr>
              <w:t>15</w:t>
            </w:r>
          </w:p>
        </w:tc>
        <w:tc>
          <w:tcPr>
            <w:tcW w:w="612" w:type="dxa"/>
            <w:vAlign w:val="center"/>
          </w:tcPr>
          <w:p w14:paraId="3CB60FBA">
            <w:pPr>
              <w:pStyle w:val="15"/>
              <w:widowControl w:val="0"/>
            </w:pPr>
            <w:r>
              <w:rPr>
                <w:rFonts w:hint="eastAsia"/>
                <w:lang w:val="en-US" w:eastAsia="zh-CN"/>
              </w:rPr>
              <w:t>15</w:t>
            </w:r>
          </w:p>
        </w:tc>
        <w:tc>
          <w:tcPr>
            <w:tcW w:w="612" w:type="dxa"/>
            <w:vAlign w:val="center"/>
          </w:tcPr>
          <w:p w14:paraId="6AABE452">
            <w:pPr>
              <w:pStyle w:val="15"/>
              <w:widowControl w:val="0"/>
              <w:rPr>
                <w:rFonts w:hint="default" w:eastAsia="宋体"/>
                <w:lang w:val="en-US" w:eastAsia="zh-CN"/>
              </w:rPr>
            </w:pPr>
            <w:r>
              <w:rPr>
                <w:rFonts w:hint="eastAsia"/>
                <w:lang w:val="en-US" w:eastAsia="zh-CN"/>
              </w:rPr>
              <w:t>20</w:t>
            </w:r>
          </w:p>
        </w:tc>
        <w:tc>
          <w:tcPr>
            <w:tcW w:w="612" w:type="dxa"/>
            <w:vAlign w:val="center"/>
          </w:tcPr>
          <w:p w14:paraId="7E467231">
            <w:pPr>
              <w:pStyle w:val="15"/>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14:paraId="353F8163">
            <w:pPr>
              <w:pStyle w:val="15"/>
              <w:widowControl w:val="0"/>
            </w:pPr>
            <w:r>
              <w:rPr>
                <w:rFonts w:hint="eastAsia"/>
              </w:rPr>
              <w:t>1</w:t>
            </w:r>
            <w:r>
              <w:t>00</w:t>
            </w:r>
          </w:p>
        </w:tc>
      </w:tr>
      <w:bookmarkEnd w:id="6"/>
    </w:tbl>
    <w:p w14:paraId="3B4AB378">
      <w:pPr>
        <w:pStyle w:val="18"/>
        <w:spacing w:before="326" w:beforeLines="100" w:after="163"/>
        <w:jc w:val="center"/>
        <w:rPr>
          <w:rFonts w:hint="eastAsia"/>
        </w:rPr>
      </w:pPr>
    </w:p>
    <w:p w14:paraId="0D0DB390">
      <w:pPr>
        <w:pStyle w:val="18"/>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24E125EA">
        <w:trPr>
          <w:trHeight w:val="283" w:hRule="atLeast"/>
        </w:trPr>
        <w:tc>
          <w:tcPr>
            <w:tcW w:w="630" w:type="dxa"/>
            <w:vMerge w:val="restart"/>
            <w:vAlign w:val="center"/>
          </w:tcPr>
          <w:p w14:paraId="1E1F91CF">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67" w:type="dxa"/>
            <w:vMerge w:val="restart"/>
          </w:tcPr>
          <w:p w14:paraId="59FF94BB">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48C4A303">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7AD0BAB1">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79B66378">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45" w:type="dxa"/>
            <w:vMerge w:val="restart"/>
            <w:vAlign w:val="center"/>
          </w:tcPr>
          <w:p w14:paraId="7C58D3CA">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780" w:type="dxa"/>
            <w:gridSpan w:val="4"/>
            <w:vAlign w:val="center"/>
          </w:tcPr>
          <w:p w14:paraId="4A3736F2">
            <w:pPr>
              <w:pStyle w:val="17"/>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7D589865">
        <w:trPr>
          <w:trHeight w:val="283" w:hRule="atLeast"/>
        </w:trPr>
        <w:tc>
          <w:tcPr>
            <w:tcW w:w="630" w:type="dxa"/>
            <w:vMerge w:val="continue"/>
          </w:tcPr>
          <w:p w14:paraId="10CE7223">
            <w:pPr>
              <w:widowControl w:val="0"/>
              <w:snapToGrid w:val="0"/>
              <w:jc w:val="center"/>
              <w:rPr>
                <w:rFonts w:ascii="黑体" w:hAnsi="黑体" w:eastAsia="黑体"/>
                <w:bCs/>
                <w:sz w:val="21"/>
                <w:szCs w:val="21"/>
              </w:rPr>
            </w:pPr>
          </w:p>
        </w:tc>
        <w:tc>
          <w:tcPr>
            <w:tcW w:w="667" w:type="dxa"/>
            <w:vMerge w:val="continue"/>
          </w:tcPr>
          <w:p w14:paraId="5819E7D7">
            <w:pPr>
              <w:pStyle w:val="17"/>
              <w:widowControl w:val="0"/>
              <w:jc w:val="both"/>
              <w:rPr>
                <w:rFonts w:ascii="黑体" w:hAnsi="黑体"/>
                <w:bCs/>
                <w:sz w:val="21"/>
                <w:szCs w:val="21"/>
              </w:rPr>
            </w:pPr>
          </w:p>
        </w:tc>
        <w:tc>
          <w:tcPr>
            <w:tcW w:w="1445" w:type="dxa"/>
            <w:vMerge w:val="continue"/>
          </w:tcPr>
          <w:p w14:paraId="320F7B28">
            <w:pPr>
              <w:pStyle w:val="17"/>
              <w:widowControl w:val="0"/>
              <w:jc w:val="both"/>
              <w:rPr>
                <w:rFonts w:ascii="黑体" w:hAnsi="黑体"/>
                <w:bCs/>
                <w:sz w:val="21"/>
                <w:szCs w:val="21"/>
              </w:rPr>
            </w:pPr>
          </w:p>
        </w:tc>
        <w:tc>
          <w:tcPr>
            <w:tcW w:w="1445" w:type="dxa"/>
            <w:vAlign w:val="center"/>
          </w:tcPr>
          <w:p w14:paraId="2DCDEAD1">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122011AA">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45" w:type="dxa"/>
            <w:vAlign w:val="center"/>
          </w:tcPr>
          <w:p w14:paraId="34E7AD9D">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0B7E3F5A">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45" w:type="dxa"/>
            <w:vAlign w:val="center"/>
          </w:tcPr>
          <w:p w14:paraId="048B110A">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247B8E77">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45" w:type="dxa"/>
            <w:vAlign w:val="center"/>
          </w:tcPr>
          <w:p w14:paraId="28A33519">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7B9EE7C7">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5D83DE26">
        <w:trPr>
          <w:trHeight w:val="454" w:hRule="atLeast"/>
        </w:trPr>
        <w:tc>
          <w:tcPr>
            <w:tcW w:w="630" w:type="dxa"/>
            <w:vAlign w:val="center"/>
          </w:tcPr>
          <w:p w14:paraId="0847A298">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67" w:type="dxa"/>
            <w:vAlign w:val="center"/>
          </w:tcPr>
          <w:p w14:paraId="56E4250A">
            <w:pPr>
              <w:widowControl w:val="0"/>
              <w:snapToGrid w:val="0"/>
              <w:jc w:val="center"/>
              <w:rPr>
                <w:rFonts w:ascii="Arial" w:hAnsi="Arial" w:eastAsia="黑体" w:cs="Arial"/>
                <w:bCs/>
                <w:sz w:val="21"/>
                <w:szCs w:val="21"/>
              </w:rPr>
            </w:pPr>
          </w:p>
        </w:tc>
        <w:tc>
          <w:tcPr>
            <w:tcW w:w="1445" w:type="dxa"/>
            <w:vAlign w:val="center"/>
          </w:tcPr>
          <w:p w14:paraId="18102A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45" w:type="dxa"/>
            <w:vAlign w:val="center"/>
          </w:tcPr>
          <w:p w14:paraId="78D4C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14:paraId="75992D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14:paraId="5B8256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14:paraId="098ECF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4847CB51">
        <w:trPr>
          <w:trHeight w:val="454" w:hRule="atLeast"/>
        </w:trPr>
        <w:tc>
          <w:tcPr>
            <w:tcW w:w="630" w:type="dxa"/>
            <w:vAlign w:val="center"/>
          </w:tcPr>
          <w:p w14:paraId="05404E99">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67" w:type="dxa"/>
            <w:vAlign w:val="center"/>
          </w:tcPr>
          <w:p w14:paraId="673D9D16">
            <w:pPr>
              <w:widowControl w:val="0"/>
              <w:snapToGrid w:val="0"/>
              <w:jc w:val="center"/>
              <w:rPr>
                <w:rFonts w:ascii="Arial" w:hAnsi="Arial" w:eastAsia="黑体" w:cs="Arial"/>
                <w:bCs/>
                <w:sz w:val="21"/>
                <w:szCs w:val="21"/>
              </w:rPr>
            </w:pPr>
          </w:p>
        </w:tc>
        <w:tc>
          <w:tcPr>
            <w:tcW w:w="1445" w:type="dxa"/>
            <w:vAlign w:val="center"/>
          </w:tcPr>
          <w:p w14:paraId="0E6566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45" w:type="dxa"/>
            <w:vAlign w:val="center"/>
          </w:tcPr>
          <w:p w14:paraId="147BF4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14:paraId="3C6D2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14:paraId="777A8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14:paraId="679A60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2DF6C5BE">
        <w:trPr>
          <w:trHeight w:val="454" w:hRule="atLeast"/>
        </w:trPr>
        <w:tc>
          <w:tcPr>
            <w:tcW w:w="630" w:type="dxa"/>
            <w:vAlign w:val="center"/>
          </w:tcPr>
          <w:p w14:paraId="4C85459A">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67" w:type="dxa"/>
            <w:vAlign w:val="center"/>
          </w:tcPr>
          <w:p w14:paraId="4CF1E591">
            <w:pPr>
              <w:widowControl w:val="0"/>
              <w:snapToGrid w:val="0"/>
              <w:jc w:val="center"/>
              <w:rPr>
                <w:rFonts w:ascii="Arial" w:hAnsi="Arial" w:eastAsia="黑体" w:cs="Arial"/>
                <w:bCs/>
                <w:sz w:val="21"/>
                <w:szCs w:val="21"/>
              </w:rPr>
            </w:pPr>
          </w:p>
        </w:tc>
        <w:tc>
          <w:tcPr>
            <w:tcW w:w="1445" w:type="dxa"/>
            <w:vAlign w:val="center"/>
          </w:tcPr>
          <w:p w14:paraId="4DFCC6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45" w:type="dxa"/>
            <w:vAlign w:val="center"/>
          </w:tcPr>
          <w:p w14:paraId="3444B9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14:paraId="6C3F7B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14:paraId="3E86A1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14:paraId="178EB4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011E848E">
        <w:trPr>
          <w:trHeight w:val="454" w:hRule="atLeast"/>
        </w:trPr>
        <w:tc>
          <w:tcPr>
            <w:tcW w:w="630" w:type="dxa"/>
            <w:vAlign w:val="center"/>
          </w:tcPr>
          <w:p w14:paraId="4704DD49">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67" w:type="dxa"/>
            <w:vAlign w:val="center"/>
          </w:tcPr>
          <w:p w14:paraId="0CC2625C">
            <w:pPr>
              <w:widowControl w:val="0"/>
              <w:snapToGrid w:val="0"/>
              <w:jc w:val="center"/>
              <w:rPr>
                <w:rFonts w:ascii="Arial" w:hAnsi="Arial" w:eastAsia="黑体" w:cs="Arial"/>
                <w:bCs/>
                <w:sz w:val="21"/>
                <w:szCs w:val="21"/>
              </w:rPr>
            </w:pPr>
          </w:p>
        </w:tc>
        <w:tc>
          <w:tcPr>
            <w:tcW w:w="1445" w:type="dxa"/>
            <w:vAlign w:val="center"/>
          </w:tcPr>
          <w:p w14:paraId="632525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45" w:type="dxa"/>
            <w:vAlign w:val="center"/>
          </w:tcPr>
          <w:p w14:paraId="1E5C56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14:paraId="63618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14:paraId="6A1B25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14:paraId="689DF3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5D0CB494">
        <w:trPr>
          <w:trHeight w:val="454" w:hRule="atLeast"/>
        </w:trPr>
        <w:tc>
          <w:tcPr>
            <w:tcW w:w="630" w:type="dxa"/>
            <w:vAlign w:val="center"/>
          </w:tcPr>
          <w:p w14:paraId="0ED18BF3">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67" w:type="dxa"/>
            <w:vAlign w:val="center"/>
          </w:tcPr>
          <w:p w14:paraId="7EB70319">
            <w:pPr>
              <w:widowControl w:val="0"/>
              <w:snapToGrid w:val="0"/>
              <w:jc w:val="center"/>
              <w:rPr>
                <w:rFonts w:ascii="Arial" w:hAnsi="Arial" w:eastAsia="黑体" w:cs="Arial"/>
                <w:bCs/>
                <w:sz w:val="21"/>
                <w:szCs w:val="21"/>
              </w:rPr>
            </w:pPr>
          </w:p>
        </w:tc>
        <w:tc>
          <w:tcPr>
            <w:tcW w:w="1445" w:type="dxa"/>
            <w:vAlign w:val="center"/>
          </w:tcPr>
          <w:p w14:paraId="5F727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45" w:type="dxa"/>
            <w:vAlign w:val="center"/>
          </w:tcPr>
          <w:p w14:paraId="580BA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14:paraId="4A8D78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14:paraId="6CBDC3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14:paraId="29969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73939E9F">
      <w:pPr>
        <w:pStyle w:val="17"/>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47B2259F">
        <w:tc>
          <w:tcPr>
            <w:tcW w:w="8296" w:type="dxa"/>
          </w:tcPr>
          <w:p w14:paraId="4058E316">
            <w:pPr>
              <w:pStyle w:val="15"/>
              <w:widowControl w:val="0"/>
              <w:jc w:val="left"/>
              <w:rPr>
                <w:rFonts w:ascii="仿宋" w:hAnsi="仿宋" w:eastAsia="仿宋" w:cs="仿宋"/>
              </w:rPr>
            </w:pPr>
          </w:p>
          <w:p w14:paraId="3FE13BC3">
            <w:pPr>
              <w:pStyle w:val="15"/>
              <w:widowControl w:val="0"/>
              <w:jc w:val="left"/>
              <w:rPr>
                <w:rFonts w:ascii="宋体" w:hAnsi="宋体"/>
                <w:bCs/>
              </w:rPr>
            </w:pPr>
          </w:p>
          <w:p w14:paraId="68FE4161">
            <w:pPr>
              <w:pStyle w:val="15"/>
              <w:widowControl w:val="0"/>
              <w:jc w:val="left"/>
              <w:rPr>
                <w:rFonts w:ascii="黑体"/>
              </w:rPr>
            </w:pPr>
          </w:p>
        </w:tc>
      </w:tr>
    </w:tbl>
    <w:p w14:paraId="56C82A58">
      <w:pPr>
        <w:pStyle w:val="17"/>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Helvetica">
    <w:panose1 w:val="00000000000000000000"/>
    <w:charset w:val="00"/>
    <w:family w:val="auto"/>
    <w:pitch w:val="default"/>
    <w:sig w:usb0="E00002FF" w:usb1="5000785B" w:usb2="00000000" w:usb3="00000000" w:csb0="2000019F" w:csb1="4F010000"/>
  </w:font>
  <w:font w:name="方正小标宋简体">
    <w:altName w:val="汉仪书宋二KW"/>
    <w:panose1 w:val="03000509000000000000"/>
    <w:charset w:val="86"/>
    <w:family w:val="script"/>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ED23D">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56332F9">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456332F9">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EE3BF"/>
    <w:multiLevelType w:val="singleLevel"/>
    <w:tmpl w:val="D7BEE3BF"/>
    <w:lvl w:ilvl="0" w:tentative="0">
      <w:start w:val="1"/>
      <w:numFmt w:val="decimal"/>
      <w:suff w:val="nothing"/>
      <w:lvlText w:val="%1、"/>
      <w:lvlJc w:val="left"/>
    </w:lvl>
  </w:abstractNum>
  <w:abstractNum w:abstractNumId="1">
    <w:nsid w:val="ED5665AA"/>
    <w:multiLevelType w:val="singleLevel"/>
    <w:tmpl w:val="ED5665AA"/>
    <w:lvl w:ilvl="0" w:tentative="0">
      <w:start w:val="1"/>
      <w:numFmt w:val="decimal"/>
      <w:suff w:val="nothing"/>
      <w:lvlText w:val="%1、"/>
      <w:lvlJc w:val="left"/>
    </w:lvl>
  </w:abstractNum>
  <w:abstractNum w:abstractNumId="2">
    <w:nsid w:val="FFC3B676"/>
    <w:multiLevelType w:val="singleLevel"/>
    <w:tmpl w:val="FFC3B676"/>
    <w:lvl w:ilvl="0" w:tentative="0">
      <w:start w:val="1"/>
      <w:numFmt w:val="decimal"/>
      <w:suff w:val="nothing"/>
      <w:lvlText w:val="%1、"/>
      <w:lvlJc w:val="left"/>
    </w:lvl>
  </w:abstractNum>
  <w:abstractNum w:abstractNumId="3">
    <w:nsid w:val="7FFF2EB8"/>
    <w:multiLevelType w:val="singleLevel"/>
    <w:tmpl w:val="7FFF2EB8"/>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4ZWFkMzhhNjc0NzYwYjI3ZjA5M2Q0MGFlNTkyYzk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13FD080B"/>
    <w:rsid w:val="22987C80"/>
    <w:rsid w:val="24192CCC"/>
    <w:rsid w:val="26F4679D"/>
    <w:rsid w:val="2ED577CC"/>
    <w:rsid w:val="39A66CD4"/>
    <w:rsid w:val="3CD52CE1"/>
    <w:rsid w:val="410F2E6A"/>
    <w:rsid w:val="4430136C"/>
    <w:rsid w:val="4AB0382B"/>
    <w:rsid w:val="569868B5"/>
    <w:rsid w:val="5F8F9919"/>
    <w:rsid w:val="611F6817"/>
    <w:rsid w:val="66CA1754"/>
    <w:rsid w:val="6F1E65D4"/>
    <w:rsid w:val="6F266C86"/>
    <w:rsid w:val="6F5042C2"/>
    <w:rsid w:val="6FF7BDCD"/>
    <w:rsid w:val="74316312"/>
    <w:rsid w:val="780F13C8"/>
    <w:rsid w:val="7C385448"/>
    <w:rsid w:val="7CB3663D"/>
    <w:rsid w:val="7D9701C5"/>
    <w:rsid w:val="92CEFC89"/>
    <w:rsid w:val="9BEFE9EC"/>
    <w:rsid w:val="AFCC81A5"/>
    <w:rsid w:val="B3FBBD09"/>
    <w:rsid w:val="B756F32B"/>
    <w:rsid w:val="DFFCBF97"/>
    <w:rsid w:val="EBED12E6"/>
    <w:rsid w:val="FFEF8E91"/>
    <w:rsid w:val="FFF747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99"/>
    <w:pPr>
      <w:widowControl w:val="0"/>
    </w:pPr>
    <w:rPr>
      <w:rFonts w:ascii="Times New Roman" w:hAnsi="Times New Roman" w:cs="Times New Roman"/>
      <w:kern w:val="2"/>
      <w:sz w:val="21"/>
    </w:rPr>
  </w:style>
  <w:style w:type="paragraph" w:styleId="4">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页眉 字符"/>
    <w:basedOn w:val="9"/>
    <w:link w:val="5"/>
    <w:semiHidden/>
    <w:qFormat/>
    <w:uiPriority w:val="99"/>
    <w:rPr>
      <w:sz w:val="18"/>
      <w:szCs w:val="18"/>
    </w:rPr>
  </w:style>
  <w:style w:type="character" w:customStyle="1" w:styleId="13">
    <w:name w:val="页脚 字符"/>
    <w:basedOn w:val="9"/>
    <w:link w:val="4"/>
    <w:semiHidden/>
    <w:qFormat/>
    <w:uiPriority w:val="99"/>
    <w:rPr>
      <w:sz w:val="18"/>
      <w:szCs w:val="18"/>
    </w:rPr>
  </w:style>
  <w:style w:type="paragraph" w:customStyle="1" w:styleId="14">
    <w:name w:val="表格标题DG"/>
    <w:basedOn w:val="1"/>
    <w:qFormat/>
    <w:uiPriority w:val="0"/>
    <w:pPr>
      <w:snapToGrid w:val="0"/>
      <w:jc w:val="center"/>
    </w:pPr>
    <w:rPr>
      <w:rFonts w:ascii="Arial" w:hAnsi="Arial" w:eastAsia="黑体"/>
      <w:bCs/>
      <w:color w:val="000000"/>
      <w:sz w:val="21"/>
      <w:szCs w:val="20"/>
    </w:rPr>
  </w:style>
  <w:style w:type="paragraph" w:customStyle="1" w:styleId="15">
    <w:name w:val="表格正文DG"/>
    <w:basedOn w:val="1"/>
    <w:qFormat/>
    <w:uiPriority w:val="0"/>
    <w:pPr>
      <w:jc w:val="center"/>
    </w:pPr>
    <w:rPr>
      <w:rFonts w:ascii="Times New Roman" w:hAnsi="Times New Roman"/>
      <w:color w:val="000000"/>
      <w:sz w:val="21"/>
      <w:szCs w:val="21"/>
    </w:rPr>
  </w:style>
  <w:style w:type="paragraph" w:styleId="16">
    <w:name w:val="List Paragraph"/>
    <w:basedOn w:val="1"/>
    <w:unhideWhenUsed/>
    <w:qFormat/>
    <w:uiPriority w:val="99"/>
    <w:pPr>
      <w:ind w:firstLine="420" w:firstLineChars="200"/>
    </w:pPr>
  </w:style>
  <w:style w:type="paragraph" w:customStyle="1" w:styleId="17">
    <w:name w:val="一级标题DG"/>
    <w:basedOn w:val="1"/>
    <w:qFormat/>
    <w:uiPriority w:val="0"/>
    <w:pPr>
      <w:spacing w:line="480" w:lineRule="auto"/>
      <w:outlineLvl w:val="0"/>
    </w:pPr>
    <w:rPr>
      <w:rFonts w:ascii="Arial" w:hAnsi="Arial" w:eastAsia="黑体"/>
      <w:sz w:val="28"/>
    </w:rPr>
  </w:style>
  <w:style w:type="paragraph" w:customStyle="1" w:styleId="18">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9"/>
    <w:link w:val="2"/>
    <w:qFormat/>
    <w:uiPriority w:val="9"/>
    <w:rPr>
      <w:rFonts w:ascii="Calibri" w:hAnsi="Calibri" w:eastAsia="宋体" w:cs="Times New Roman"/>
      <w:b/>
      <w:bCs/>
      <w:kern w:val="44"/>
      <w:sz w:val="44"/>
      <w:szCs w:val="44"/>
    </w:rPr>
  </w:style>
  <w:style w:type="character" w:customStyle="1" w:styleId="21">
    <w:name w:val="批注文字 字符"/>
    <w:basedOn w:val="9"/>
    <w:link w:val="3"/>
    <w:qFormat/>
    <w:uiPriority w:val="99"/>
    <w:rPr>
      <w:rFonts w:ascii="Times New Roman" w:hAnsi="Times New Roman" w:eastAsia="宋体" w:cs="Times New Roman"/>
      <w:kern w:val="2"/>
      <w:sz w:val="21"/>
      <w:szCs w:val="24"/>
    </w:rPr>
  </w:style>
  <w:style w:type="character" w:customStyle="1" w:styleId="22">
    <w:name w:val="editor-text-node"/>
    <w:basedOn w:val="9"/>
    <w:qFormat/>
    <w:uiPriority w:val="0"/>
  </w:style>
  <w:style w:type="character" w:styleId="23">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146</Words>
  <Characters>833</Characters>
  <Lines>6</Lines>
  <Paragraphs>1</Paragraphs>
  <TotalTime>0</TotalTime>
  <ScaleCrop>false</ScaleCrop>
  <LinksUpToDate>false</LinksUpToDate>
  <CharactersWithSpaces>978</CharactersWithSpaces>
  <Application>WPS Office_6.15.1.8935_F1E327BC-269C-435d-A152-05C5408002CA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2023-11-24T02:39:00Z</dcterms:created>
  <dc:creator>juvg</dc:creator>
  <cp:lastModifiedBy>玉子</cp:lastModifiedBy>
  <cp:lastPrinted>2023-11-24T00:52:00Z</cp:lastPrinted>
  <dcterms:modified xsi:type="dcterms:W3CDTF">2025-02-09T18:12:51Z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2052-6.15.1.8935</vt:lpwstr>
  </property>
  <property fmtid="{D5CDD505-2E9C-101B-9397-08002B2CF9AE}" pid="3" name="ICV">
    <vt:lpwstr>D97DFB0C615C6EB6E9BE8B666A4B8082_43</vt:lpwstr>
  </property>
</Properties>
</file>