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1C21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《珠宝设计软件（一）》课程教学大纲</w:t>
      </w:r>
    </w:p>
    <w:p w14:paraId="10FD781C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7D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74A395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A4A5D2"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（中文）珠宝设计软件（一）</w:t>
            </w:r>
          </w:p>
        </w:tc>
      </w:tr>
      <w:tr w14:paraId="3577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E8C0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3B2086A"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（英文）Jewelry Design Software（Ⅰ）</w:t>
            </w:r>
          </w:p>
        </w:tc>
      </w:tr>
      <w:tr w14:paraId="27D1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1131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EEC9E5B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20047</w:t>
            </w:r>
          </w:p>
        </w:tc>
        <w:tc>
          <w:tcPr>
            <w:tcW w:w="2126" w:type="dxa"/>
            <w:gridSpan w:val="2"/>
            <w:vAlign w:val="center"/>
          </w:tcPr>
          <w:p w14:paraId="56D6F50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F1D2D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626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C0CBBF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A2E82B4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 w14:paraId="6943A9F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B47C7B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 w14:paraId="07E1F92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9936EB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14E4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D94EF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1A5F7FB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0EA41DA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B01C67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 w14:paraId="7550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BE67C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C7330F9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基础选修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650ABC5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05DFEF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3490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FAA3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0720B7B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《JewelCAD珠宝设计实用教程》，李冯君、魏敏主编，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ISBN：9787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515331256、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instrText xml:space="preserve">HYPERLINK "http://search.dangdang.com/book/search_pub.php?category=01&amp;key3=%C9%CF%BA%A3%C8%CB%C3%F1%C3%C0%CA%F5%B3%F6%B0%E6%C9%E7" \t "_blank"</w:instrTex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中国青年出版社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、2015年5月第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031735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AA21F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2C53F9E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538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4EC9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9062045">
            <w:pPr>
              <w:pStyle w:val="16"/>
              <w:widowControl w:val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设计美学A2120009(3)、首饰制作（2）A2040091(4)、首饰设计专业绘图A2040277（4）</w:t>
            </w:r>
          </w:p>
        </w:tc>
      </w:tr>
      <w:tr w14:paraId="4476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EA027A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8710F7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本课程是产品设计（珠宝首饰设计）专业的一门专业基础选修课。课程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主要教授学生如何使用 JewelCAD 软件进行珠宝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学生将学习JewelCAD软件的基本操作和功能，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包括建模、渲染等。通过实际操作来熟悉软件的各种工具和命令，并逐渐掌握珠宝设计的基本技能。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通过学习本课程，学生将能够进行戒指、坠饰、耳饰、胸针及简单首饰套件的三维建模，渲染，并未将来从事珠宝首饰设计行业做好准备。</w:t>
            </w:r>
          </w:p>
          <w:p w14:paraId="515AF514">
            <w:pPr>
              <w:widowControl w:val="0"/>
              <w:snapToGrid w:val="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0C93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56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0D1BE3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3EE11E7">
            <w:pPr>
              <w:widowControl w:val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本课程的学生应具备一定的绘画基础、且对首饰结构等专业知识有一定的认识与了解。因此先修课程包括专业课设计美学、首饰制作（2）、首饰设计专业绘图等。本课程适于产品设计专业本科设计与制作方向学生第二学年学习。</w:t>
            </w:r>
          </w:p>
        </w:tc>
      </w:tr>
      <w:tr w14:paraId="3995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75F03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9F5C93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-8255</wp:posOffset>
                  </wp:positionV>
                  <wp:extent cx="575945" cy="337185"/>
                  <wp:effectExtent l="0" t="0" r="14605" b="5715"/>
                  <wp:wrapNone/>
                  <wp:docPr id="3" name="图片 3" descr="WechatIMG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1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3F0226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shd w:val="clear"/>
            <w:vAlign w:val="center"/>
          </w:tcPr>
          <w:p w14:paraId="5D6265A5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2024.0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9</w:t>
            </w:r>
          </w:p>
        </w:tc>
      </w:tr>
      <w:tr w14:paraId="6B2B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93981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51C79F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-25400</wp:posOffset>
                  </wp:positionV>
                  <wp:extent cx="541655" cy="361315"/>
                  <wp:effectExtent l="0" t="0" r="10795" b="635"/>
                  <wp:wrapNone/>
                  <wp:docPr id="1409476091" name="图片 1409476091" descr="手写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76091" name="图片 1409476091" descr="手写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-17145</wp:posOffset>
                  </wp:positionV>
                  <wp:extent cx="781685" cy="412750"/>
                  <wp:effectExtent l="0" t="0" r="18415" b="6350"/>
                  <wp:wrapNone/>
                  <wp:docPr id="1" name="图片 1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E57AA6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shd w:val="clear"/>
            <w:vAlign w:val="center"/>
          </w:tcPr>
          <w:p w14:paraId="4EE569FE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.0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1747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FFA55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D6F82F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-22860</wp:posOffset>
                  </wp:positionV>
                  <wp:extent cx="782320" cy="356235"/>
                  <wp:effectExtent l="0" t="0" r="17780" b="5715"/>
                  <wp:wrapNone/>
                  <wp:docPr id="4" name="图片 4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5B6381E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67A8113A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5.02</w:t>
            </w:r>
          </w:p>
        </w:tc>
      </w:tr>
    </w:tbl>
    <w:p w14:paraId="63B1ECAB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2D5D2FF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1F8F2883"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2C22A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18CED75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34CFBD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2F34509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EA88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7E66020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B65023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458" w:type="dxa"/>
            <w:vAlign w:val="center"/>
          </w:tcPr>
          <w:p w14:paraId="684C6962"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方法。</w:t>
            </w:r>
          </w:p>
        </w:tc>
      </w:tr>
      <w:tr w14:paraId="0F05F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restart"/>
            <w:vAlign w:val="center"/>
          </w:tcPr>
          <w:p w14:paraId="1F4C2230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Cs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7EBBF49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458" w:type="dxa"/>
            <w:vAlign w:val="center"/>
          </w:tcPr>
          <w:p w14:paraId="7EF68F59"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熟练掌握</w:t>
            </w:r>
            <w:r>
              <w:rPr>
                <w:rFonts w:hint="eastAsia" w:asciiTheme="minorEastAsia" w:hAnsiTheme="minorEastAsia" w:eastAsiaTheme="minorEastAsia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</w:rPr>
              <w:t>。</w:t>
            </w:r>
          </w:p>
        </w:tc>
      </w:tr>
      <w:tr w14:paraId="5C0E7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continue"/>
            <w:vAlign w:val="center"/>
          </w:tcPr>
          <w:p w14:paraId="6B32AD14">
            <w:pPr>
              <w:pStyle w:val="16"/>
              <w:jc w:val="left"/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B024CE6">
            <w:pPr>
              <w:pStyle w:val="16"/>
              <w:rPr>
                <w:rFonts w:cs="Arial"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  <w:bCs/>
              </w:rPr>
              <w:t>3</w:t>
            </w:r>
          </w:p>
        </w:tc>
        <w:tc>
          <w:tcPr>
            <w:tcW w:w="6458" w:type="dxa"/>
            <w:vAlign w:val="center"/>
          </w:tcPr>
          <w:p w14:paraId="57434E06">
            <w:pPr>
              <w:pStyle w:val="16"/>
              <w:jc w:val="left"/>
              <w:rPr>
                <w:rFonts w:hint="eastAsia"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了解珠宝玉石材料的性质和特点，通过软件的建模、渲染合理的表现珠宝首饰产品。</w:t>
            </w:r>
          </w:p>
        </w:tc>
      </w:tr>
      <w:tr w14:paraId="58FB6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2291E9B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E0D66A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9F2BB37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6458" w:type="dxa"/>
            <w:vAlign w:val="center"/>
          </w:tcPr>
          <w:p w14:paraId="25E86B64">
            <w:pPr>
              <w:pStyle w:val="16"/>
              <w:jc w:val="left"/>
              <w:rPr>
                <w:rFonts w:hint="eastAsia"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能够综合运用各项工具、各种资源进行资料的搜集、分析和整理，培养学生解决实际问题的能力。</w:t>
            </w:r>
          </w:p>
        </w:tc>
      </w:tr>
      <w:tr w14:paraId="314EC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7C5BEF4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5D161A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458" w:type="dxa"/>
            <w:vAlign w:val="center"/>
          </w:tcPr>
          <w:p w14:paraId="299385F0">
            <w:pPr>
              <w:pStyle w:val="16"/>
              <w:jc w:val="left"/>
              <w:rPr>
                <w:rFonts w:hint="eastAsia"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培养学生在珠宝设计领域的专业素养和职业道德，培养首饰设计的创新思维和设计能力，注重</w:t>
            </w:r>
            <w:r>
              <w:rPr>
                <w:rFonts w:hint="eastAsia" w:cs="宋体" w:asciiTheme="minorEastAsia" w:hAnsiTheme="minorEastAsia" w:eastAsiaTheme="minorEastAsia"/>
                <w:bCs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bCs/>
              </w:rP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rPr>
                <w:rFonts w:hint="eastAsia" w:cs="宋体"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bCs/>
              </w:rPr>
              <w:t>知识产权</w:t>
            </w:r>
            <w:r>
              <w:rPr>
                <w:rFonts w:hint="eastAsia" w:cs="宋体" w:asciiTheme="minorEastAsia" w:hAnsiTheme="minorEastAsia" w:eastAsiaTheme="minorEastAsia"/>
                <w:bCs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bCs/>
              </w:rPr>
              <w:t>和诚信设计。</w:t>
            </w:r>
          </w:p>
        </w:tc>
      </w:tr>
    </w:tbl>
    <w:p w14:paraId="4BCFDD66"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7943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6CD47D7A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40B55995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4BF29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A4AC949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0E6C2E35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②掌握珠宝首饰设计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表现的</w:t>
            </w:r>
            <w:r>
              <w:rPr>
                <w:rFonts w:hint="eastAsia"/>
                <w:bCs/>
                <w:sz w:val="21"/>
                <w:szCs w:val="21"/>
              </w:rPr>
              <w:t>基本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原则</w:t>
            </w:r>
            <w:r>
              <w:rPr>
                <w:rFonts w:hint="eastAsia"/>
                <w:bCs/>
                <w:sz w:val="21"/>
                <w:szCs w:val="21"/>
              </w:rPr>
              <w:t>和方法，具有较强的珠宝首饰设计手绘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能力</w:t>
            </w:r>
            <w:r>
              <w:rPr>
                <w:rFonts w:hint="eastAsia"/>
                <w:bCs/>
                <w:sz w:val="21"/>
                <w:szCs w:val="21"/>
              </w:rPr>
              <w:t>和计算机绘图能力。</w:t>
            </w:r>
          </w:p>
          <w:p w14:paraId="60C1C8AD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 w14:paraId="04027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4A142E5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hint="eastAsia"/>
                <w:bCs/>
                <w:sz w:val="21"/>
                <w:szCs w:val="21"/>
              </w:rPr>
              <w:t>具备一定的信息素养，并能在工作中应用信息技术和工具解决问题。</w:t>
            </w:r>
          </w:p>
          <w:p w14:paraId="6396DE26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10DB07AB"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FB4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294E21D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2784B3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B91835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F44CE2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22869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224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BCDF4F">
            <w:pPr>
              <w:pStyle w:val="16"/>
              <w:rPr>
                <w:rFonts w:ascii="黑体" w:hAnsi="黑体"/>
                <w:szCs w:val="18"/>
              </w:rPr>
            </w:pPr>
            <w:r>
              <w:t>L</w:t>
            </w:r>
            <w:r>
              <w:rPr>
                <w:rFonts w:hint="eastAsia"/>
              </w:rPr>
              <w:t>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0F631C8">
            <w:pPr>
              <w:pStyle w:val="16"/>
              <w:rPr>
                <w:szCs w:val="16"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CEEF280">
            <w:pPr>
              <w:pStyle w:val="16"/>
              <w:rPr>
                <w:szCs w:val="16"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6D71B507">
            <w:pPr>
              <w:pStyle w:val="15"/>
              <w:jc w:val="left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</w:t>
            </w:r>
            <w:r>
              <w:rPr>
                <w:rFonts w:asciiTheme="minorEastAsia" w:hAnsiTheme="minorEastAsia" w:eastAsiaTheme="minorEastAsia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363B6D9">
            <w:pPr>
              <w:pStyle w:val="15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5</w:t>
            </w:r>
            <w:r>
              <w:rPr>
                <w:rFonts w:asciiTheme="minorEastAsia" w:hAnsiTheme="minorEastAsia" w:eastAsiaTheme="minorEastAsia"/>
                <w:szCs w:val="16"/>
              </w:rPr>
              <w:t>0%</w:t>
            </w:r>
          </w:p>
        </w:tc>
      </w:tr>
      <w:tr w14:paraId="5415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8C4C19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D8BFFF9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FC7C19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4763" w:type="dxa"/>
            <w:vAlign w:val="center"/>
          </w:tcPr>
          <w:p w14:paraId="2D9FD949"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5、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培养学生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在珠宝设计软件领域的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专业素养和职业道德，培养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首饰设计的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创新思维和设计能力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注重</w:t>
            </w:r>
            <w:r>
              <w:fldChar w:fldCharType="begin"/>
            </w:r>
            <w: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知识产权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和诚信设计。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EC0E6C1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</w:rPr>
              <w:t>0%</w:t>
            </w:r>
          </w:p>
        </w:tc>
      </w:tr>
      <w:tr w14:paraId="1519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C2CF49F">
            <w:pPr>
              <w:pStyle w:val="16"/>
            </w:pPr>
            <w:r>
              <w:t>L</w:t>
            </w:r>
            <w:r>
              <w:rPr>
                <w:rFonts w:hint="eastAsia"/>
              </w:rPr>
              <w:t>02</w:t>
            </w:r>
          </w:p>
          <w:p w14:paraId="77C9D8F5">
            <w:pPr>
              <w:pStyle w:val="16"/>
            </w:pPr>
            <w:r>
              <w:rPr>
                <w:rFonts w:hint="eastAsia"/>
              </w:rPr>
              <w:t>L</w:t>
            </w:r>
            <w:r>
              <w:t>03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C79785F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26C979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 w14:paraId="50BBCEF5"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2、熟练掌握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89EA10D">
            <w:pPr>
              <w:pStyle w:val="16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100%</w:t>
            </w:r>
          </w:p>
        </w:tc>
      </w:tr>
      <w:tr w14:paraId="37A2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6E1978">
            <w:pPr>
              <w:pStyle w:val="16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1FDE788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DE1C5E2">
            <w:pPr>
              <w:pStyle w:val="16"/>
              <w:rPr>
                <w:rFonts w:ascii="宋体" w:hAnsi="宋体"/>
              </w:rPr>
            </w:pPr>
            <w:r>
              <w:rPr>
                <w:rFonts w:hint="eastAsia"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3D5829AD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3、了解珠宝玉石材料的性质和特点，通过软件的建模、渲染合理的表现珠宝首饰产品。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4CF49CC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  <w:r>
              <w:rPr>
                <w:rFonts w:asciiTheme="minorEastAsia" w:hAnsiTheme="minorEastAsia" w:eastAsiaTheme="minorEastAsia"/>
                <w:bCs/>
              </w:rPr>
              <w:t>00%</w:t>
            </w:r>
          </w:p>
        </w:tc>
      </w:tr>
      <w:tr w14:paraId="462E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E96ABB0">
            <w:pPr>
              <w:pStyle w:val="16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435DEB8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8FB162F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657088B8"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能够综合运用各项工具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各种资源进行资料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搜集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分析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和整理，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培养学生解决实际问题的能力。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B96A794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3BB4C0E9">
      <w:pPr>
        <w:pStyle w:val="18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  <w:bookmarkStart w:id="0" w:name="OLE_LINK4"/>
      <w:bookmarkStart w:id="1" w:name="OLE_LINK3"/>
    </w:p>
    <w:p w14:paraId="4D434A39">
      <w:pPr>
        <w:pStyle w:val="18"/>
        <w:numPr>
          <w:ilvl w:val="0"/>
          <w:numId w:val="1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98CDD02">
      <w:pPr>
        <w:pStyle w:val="19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36DC3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8FFB44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18E441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47D952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944BF9C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E70C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89D168">
            <w:pPr>
              <w:pStyle w:val="15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118A51">
            <w:pPr>
              <w:pStyle w:val="15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D8C919">
            <w:pPr>
              <w:pStyle w:val="15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AB23E4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DFA39D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698B0C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2B6D3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1387F0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874BB7"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192D8"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871393"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5F880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ACC417"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12</w:t>
            </w:r>
          </w:p>
        </w:tc>
      </w:tr>
      <w:tr w14:paraId="23439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AA4C64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A74DC3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DC5AA3"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6A899E"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51E62C"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</w:t>
            </w: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4E8F42">
            <w:pPr>
              <w:pStyle w:val="16"/>
              <w:rPr>
                <w:rFonts w:hint="eastAsia" w:ascii="Arial" w:hAnsi="Arial" w:eastAsia="宋体"/>
                <w:bCs/>
                <w:szCs w:val="16"/>
                <w:lang w:val="en-US" w:eastAsia="zh-CN"/>
              </w:rPr>
            </w:pPr>
            <w:r>
              <w:rPr>
                <w:rStyle w:val="25"/>
                <w:sz w:val="20"/>
                <w:szCs w:val="20"/>
              </w:rPr>
              <w:t>1</w:t>
            </w:r>
            <w:r>
              <w:rPr>
                <w:rStyle w:val="25"/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</w:tr>
      <w:tr w14:paraId="07322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57A05B"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D3F8BA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主题套件首饰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32E370"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3700C1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EDBD71">
            <w:pPr>
              <w:pStyle w:val="15"/>
              <w:rPr>
                <w:rFonts w:hint="default" w:ascii="宋体" w:hAnsi="宋体" w:eastAsia="宋体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D9E86F"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14</w:t>
            </w:r>
          </w:p>
        </w:tc>
      </w:tr>
      <w:tr w14:paraId="29E7E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E2A9D">
            <w:pPr>
              <w:pStyle w:val="15"/>
              <w:jc w:val="center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1EEAF5BD"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48B6E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803D740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</w:tr>
      <w:tr w14:paraId="21FA0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4CC6CA5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</w:t>
            </w:r>
          </w:p>
          <w:p w14:paraId="0BD6F9BA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软件的基本功能和操作界面。</w:t>
            </w:r>
          </w:p>
          <w:p w14:paraId="72A84E95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</w:p>
          <w:p w14:paraId="53A17C79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0F8EE599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软件的介绍和安装。</w:t>
            </w:r>
          </w:p>
          <w:p w14:paraId="048311C3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软件的操作界面和基本工具讲解。</w:t>
            </w:r>
          </w:p>
          <w:p w14:paraId="7EEA0389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曲线</w:t>
            </w:r>
            <w:r>
              <w:rPr>
                <w:rFonts w:hint="default"/>
                <w:sz w:val="21"/>
                <w:szCs w:val="21"/>
              </w:rPr>
              <w:t>绘制、曲面创建、实体建模等基本操作演示。</w:t>
            </w:r>
          </w:p>
          <w:p w14:paraId="03D5382A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206C42C8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学生能够熟练掌握 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软件的基本操作</w:t>
            </w:r>
            <w:r>
              <w:rPr>
                <w:rFonts w:hint="eastAsia"/>
                <w:sz w:val="21"/>
                <w:szCs w:val="21"/>
                <w:lang w:eastAsia="zh-CN"/>
              </w:rPr>
              <w:t>。（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3F6E4A56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12B6B818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cs="仿宋"/>
                <w:bCs/>
              </w:rPr>
            </w:pPr>
            <w:r>
              <w:rPr>
                <w:rFonts w:hint="default"/>
                <w:sz w:val="21"/>
                <w:szCs w:val="21"/>
              </w:rPr>
              <w:t>学生能够按照要求保存和输出设计文件，与他人进行有效的沟通和协作。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0320D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76" w:type="dxa"/>
          </w:tcPr>
          <w:p w14:paraId="5A45705B">
            <w:pPr>
              <w:widowControl w:val="0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</w:tr>
      <w:tr w14:paraId="3A67D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41FADCF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 w14:paraId="7133FEF0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掌握JewelCAD</w:t>
            </w:r>
            <w:r>
              <w:rPr>
                <w:rFonts w:hint="default"/>
                <w:sz w:val="21"/>
                <w:szCs w:val="21"/>
              </w:rPr>
              <w:t>软件</w:t>
            </w:r>
            <w:r>
              <w:rPr>
                <w:rFonts w:hint="eastAsia"/>
                <w:sz w:val="21"/>
                <w:szCs w:val="21"/>
              </w:rPr>
              <w:t>的三维建模基本方法和技巧。</w:t>
            </w:r>
          </w:p>
          <w:p w14:paraId="2779F1C2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理解并掌握常见商业首饰的设计原理和结构特点。</w:t>
            </w:r>
          </w:p>
          <w:p w14:paraId="00F28CED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培养学生的空间感和立体感，提高设计能力。</w:t>
            </w:r>
          </w:p>
          <w:p w14:paraId="6E69F88D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26F30A8D"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常见商业首饰的结构分析与设计要点。</w:t>
            </w:r>
          </w:p>
          <w:p w14:paraId="6A9535D5"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</w:pPr>
            <w:r>
              <w:rPr>
                <w:rFonts w:hint="default"/>
                <w:sz w:val="21"/>
                <w:szCs w:val="21"/>
              </w:rPr>
              <w:t>使用 JewelCAD 软件进行首饰建模的步骤和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  <w:t>技巧。</w:t>
            </w:r>
          </w:p>
          <w:p w14:paraId="08CF2CFA"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学生实践操作，完成首饰的三维建模。</w:t>
            </w:r>
          </w:p>
          <w:p w14:paraId="77F5A7AF"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指导学生进行模型的优化和修改。</w:t>
            </w:r>
          </w:p>
          <w:p w14:paraId="02569211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64F40921"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熟练掌握 JewelCAD 软件的各种工具和命令，能够高效地进行建模操作。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4445F62C"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准确把握首饰的比例、尺寸和结构，模型符合设计要求。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29D64774"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能够根据要求对模型进行修改和优化。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60C32608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5250F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 w14:paraId="19D3D53D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仿宋"/>
                <w:bCs/>
              </w:rPr>
              <w:t>实验</w:t>
            </w:r>
            <w:r>
              <w:rPr>
                <w:rFonts w:hint="eastAsia" w:cs="仿宋"/>
                <w:bCs/>
                <w:lang w:val="en-US" w:eastAsia="zh-CN"/>
              </w:rPr>
              <w:t>3</w:t>
            </w:r>
            <w:r>
              <w:rPr>
                <w:rFonts w:hint="eastAsia" w:cs="仿宋"/>
                <w:bCs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主题套件首饰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</w:t>
            </w:r>
          </w:p>
        </w:tc>
      </w:tr>
      <w:tr w14:paraId="63C8A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A54FD65">
            <w:pPr>
              <w:pStyle w:val="16"/>
              <w:widowControl w:val="0"/>
              <w:tabs>
                <w:tab w:val="left" w:pos="1347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教学目标：</w:t>
            </w:r>
          </w:p>
          <w:p w14:paraId="6558C2EB"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理解并掌握主题套件首饰的设计理念和方法。</w:t>
            </w:r>
          </w:p>
          <w:p w14:paraId="52DA9306"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熟练掌握JewelCAD 软件的建模技巧，准确表达设计概念。</w:t>
            </w:r>
          </w:p>
          <w:p w14:paraId="13F9C174"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提高学生的设计创新能力和审美水平，能够独立完成主题套件首饰的设计。</w:t>
            </w:r>
          </w:p>
          <w:p w14:paraId="10F3EDD0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4EE799DE"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主题套件首饰的设计理念和方法，包括主题选择、元素提取、色彩搭配等。</w:t>
            </w:r>
          </w:p>
          <w:p w14:paraId="47ABEC79"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</w:pPr>
            <w:r>
              <w:rPr>
                <w:rFonts w:hint="default"/>
                <w:sz w:val="21"/>
                <w:szCs w:val="21"/>
              </w:rPr>
              <w:t>使用 JewelCAD 软件进行主题套件首饰设计的步骤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  <w:t>和技巧。</w:t>
            </w:r>
          </w:p>
          <w:p w14:paraId="2A9B7D10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16498572"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创意设计能力，包括主题的新颖性、独特性和完整性。（30分）</w:t>
            </w:r>
          </w:p>
          <w:p w14:paraId="3911115A"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熟练掌握 JewelCAD 软件的各种工具和命令，能够高效地进行建模操作。（50分）</w:t>
            </w:r>
          </w:p>
          <w:p w14:paraId="499D4A49"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模型的细节处理精细，无瑕疵和错误。（20分）</w:t>
            </w:r>
          </w:p>
          <w:p w14:paraId="6F721578">
            <w:pPr>
              <w:pStyle w:val="16"/>
              <w:widowControl w:val="0"/>
              <w:tabs>
                <w:tab w:val="left" w:pos="1347"/>
              </w:tabs>
              <w:jc w:val="left"/>
              <w:rPr>
                <w:rFonts w:ascii="宋体" w:hAnsi="宋体"/>
                <w:bCs/>
              </w:rPr>
            </w:pPr>
          </w:p>
        </w:tc>
      </w:tr>
    </w:tbl>
    <w:p w14:paraId="7DAE1C87">
      <w:pPr>
        <w:pStyle w:val="19"/>
        <w:spacing w:before="163" w:after="163"/>
      </w:pPr>
      <w:r>
        <w:rPr>
          <w:rFonts w:hint="eastAsia"/>
        </w:rPr>
        <w:t>三）各实验项目对课程目标的支撑关系</w:t>
      </w:r>
    </w:p>
    <w:tbl>
      <w:tblPr>
        <w:tblStyle w:val="8"/>
        <w:tblW w:w="48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3"/>
        <w:gridCol w:w="979"/>
        <w:gridCol w:w="979"/>
        <w:gridCol w:w="979"/>
        <w:gridCol w:w="979"/>
        <w:gridCol w:w="871"/>
      </w:tblGrid>
      <w:tr w14:paraId="7FC5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37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72C2550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6D19EAC">
            <w:pPr>
              <w:pStyle w:val="15"/>
              <w:ind w:right="210"/>
              <w:jc w:val="left"/>
              <w:rPr>
                <w:szCs w:val="16"/>
              </w:rPr>
            </w:pPr>
          </w:p>
          <w:p w14:paraId="75246BAF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3F172AF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5B3F449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47F6BD85">
            <w:pPr>
              <w:pStyle w:val="15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623570F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71" w:type="dxa"/>
            <w:tcBorders>
              <w:top w:val="single" w:color="auto" w:sz="12" w:space="0"/>
            </w:tcBorders>
            <w:vAlign w:val="center"/>
          </w:tcPr>
          <w:p w14:paraId="4C25620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672C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75DA50A2"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979" w:type="dxa"/>
            <w:vAlign w:val="center"/>
          </w:tcPr>
          <w:p w14:paraId="6121FBA8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6B4DF9FD">
            <w:pPr>
              <w:pStyle w:val="16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79" w:type="dxa"/>
            <w:vAlign w:val="center"/>
          </w:tcPr>
          <w:p w14:paraId="75329103">
            <w:pPr>
              <w:pStyle w:val="16"/>
            </w:pPr>
          </w:p>
        </w:tc>
        <w:tc>
          <w:tcPr>
            <w:tcW w:w="979" w:type="dxa"/>
            <w:vAlign w:val="center"/>
          </w:tcPr>
          <w:p w14:paraId="21F8266A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 w14:paraId="4E61DB08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 w14:paraId="27F8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29C5C0A9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979" w:type="dxa"/>
            <w:vAlign w:val="center"/>
          </w:tcPr>
          <w:p w14:paraId="01C2E5A6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2925AE6F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44EB8922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5277EABF">
            <w:pPr>
              <w:pStyle w:val="16"/>
            </w:pPr>
          </w:p>
        </w:tc>
        <w:tc>
          <w:tcPr>
            <w:tcW w:w="871" w:type="dxa"/>
            <w:vAlign w:val="center"/>
          </w:tcPr>
          <w:p w14:paraId="19C9E71D">
            <w:pPr>
              <w:pStyle w:val="16"/>
            </w:pPr>
          </w:p>
        </w:tc>
      </w:tr>
      <w:tr w14:paraId="60FE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191ECD97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主题套件首饰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</w:t>
            </w:r>
          </w:p>
        </w:tc>
        <w:tc>
          <w:tcPr>
            <w:tcW w:w="979" w:type="dxa"/>
            <w:vAlign w:val="center"/>
          </w:tcPr>
          <w:p w14:paraId="583C9F0A">
            <w:pPr>
              <w:pStyle w:val="16"/>
            </w:pPr>
          </w:p>
        </w:tc>
        <w:tc>
          <w:tcPr>
            <w:tcW w:w="979" w:type="dxa"/>
            <w:vAlign w:val="center"/>
          </w:tcPr>
          <w:p w14:paraId="7F74D608">
            <w:pPr>
              <w:pStyle w:val="16"/>
            </w:pPr>
          </w:p>
        </w:tc>
        <w:tc>
          <w:tcPr>
            <w:tcW w:w="979" w:type="dxa"/>
            <w:vAlign w:val="center"/>
          </w:tcPr>
          <w:p w14:paraId="4C1D8D2D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38F8CE29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 w14:paraId="02691D1F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</w:tbl>
    <w:p w14:paraId="6D6A9993"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02A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7B00B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1、培养创新精神：鼓励学生在设计过程中发挥创新思维，培养他们的创新精神和创造力。可以通过分享创新案例、组织创新设计比赛等方式激发学生的创新潜力。</w:t>
            </w:r>
          </w:p>
          <w:p w14:paraId="1AD63E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2、关注环境与可持续发展：强调在设计过程中考虑环境因素和可持续发展原则，引导学生关注生态环境保护，培养他们的环保意识。</w:t>
            </w:r>
          </w:p>
          <w:p w14:paraId="15AB08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3、培养职业道德：在教学中，引导学生遵守职业道德规范，强调知识产权保护的重要性，培养学生的诚信意识和职业操守。</w:t>
            </w:r>
          </w:p>
          <w:p w14:paraId="7F9164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4、结合时事热点：将课程内容与当前社会时事热点相结合，引导学生关注社会动态，培养他们的社会责任感和时代使命感。</w:t>
            </w:r>
          </w:p>
        </w:tc>
      </w:tr>
      <w:bookmarkEnd w:id="0"/>
      <w:bookmarkEnd w:id="1"/>
    </w:tbl>
    <w:p w14:paraId="1362AF35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8"/>
        <w:gridCol w:w="1967"/>
        <w:gridCol w:w="943"/>
        <w:gridCol w:w="992"/>
        <w:gridCol w:w="851"/>
        <w:gridCol w:w="850"/>
        <w:gridCol w:w="797"/>
        <w:gridCol w:w="671"/>
      </w:tblGrid>
      <w:tr w14:paraId="3EF8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08E10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 w14:paraId="467CF564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967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C93A723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4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2B762D5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D8F3ED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9F4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 w14:paraId="718A821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 w14:paraId="1C7B889F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double" w:color="auto" w:sz="4" w:space="0"/>
            </w:tcBorders>
          </w:tcPr>
          <w:p w14:paraId="0F0BD25A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1914A254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F4C8CB7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152FD31B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03D2169F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 w14:paraId="7323476D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1" w:type="dxa"/>
            <w:vMerge w:val="continue"/>
            <w:tcBorders>
              <w:right w:val="single" w:color="auto" w:sz="12" w:space="0"/>
            </w:tcBorders>
          </w:tcPr>
          <w:p w14:paraId="733CADFD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5BE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3BF6A859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688" w:type="dxa"/>
            <w:vAlign w:val="center"/>
          </w:tcPr>
          <w:p w14:paraId="3BB2FA0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7A08D32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106131F9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992" w:type="dxa"/>
            <w:vAlign w:val="center"/>
          </w:tcPr>
          <w:p w14:paraId="4491BCD9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 w14:paraId="26FC8101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 w14:paraId="402BD613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797" w:type="dxa"/>
            <w:vAlign w:val="center"/>
          </w:tcPr>
          <w:p w14:paraId="1EC2CED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6F4693BC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33CD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6D18FE77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688" w:type="dxa"/>
            <w:vAlign w:val="center"/>
          </w:tcPr>
          <w:p w14:paraId="5AD8695B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375C37AA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667F323D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 w14:paraId="331F2A42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60</w:t>
            </w:r>
          </w:p>
        </w:tc>
        <w:tc>
          <w:tcPr>
            <w:tcW w:w="851" w:type="dxa"/>
            <w:vAlign w:val="center"/>
          </w:tcPr>
          <w:p w14:paraId="4C4D2B69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6682410F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 w14:paraId="09C768D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670482D1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7914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17DA1E32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688" w:type="dxa"/>
            <w:vAlign w:val="center"/>
          </w:tcPr>
          <w:p w14:paraId="035ED0D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25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6B431453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2AB56821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 w14:paraId="2A9A50E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70</w:t>
            </w:r>
          </w:p>
        </w:tc>
        <w:tc>
          <w:tcPr>
            <w:tcW w:w="851" w:type="dxa"/>
            <w:vAlign w:val="center"/>
          </w:tcPr>
          <w:p w14:paraId="1E85C625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7670366F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 w14:paraId="7375707D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074A7BF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78F9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34CB87A2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688" w:type="dxa"/>
            <w:vAlign w:val="center"/>
          </w:tcPr>
          <w:p w14:paraId="2EC73D1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5%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47DDED65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13BED542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 w14:paraId="467F94EE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30</w:t>
            </w:r>
          </w:p>
        </w:tc>
        <w:tc>
          <w:tcPr>
            <w:tcW w:w="851" w:type="dxa"/>
            <w:vAlign w:val="center"/>
          </w:tcPr>
          <w:p w14:paraId="2385EADE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850" w:type="dxa"/>
            <w:vAlign w:val="center"/>
          </w:tcPr>
          <w:p w14:paraId="693BC20A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797" w:type="dxa"/>
            <w:vAlign w:val="center"/>
          </w:tcPr>
          <w:p w14:paraId="508C2C0F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3AE2F5A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</w:tbl>
    <w:p w14:paraId="2DE534BB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43D3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F134518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无</w:t>
            </w:r>
          </w:p>
        </w:tc>
      </w:tr>
    </w:tbl>
    <w:p w14:paraId="6F0254FC">
      <w:pPr>
        <w:pStyle w:val="19"/>
        <w:spacing w:before="326" w:beforeLines="100" w:after="163"/>
        <w:rPr>
          <w:rFonts w:ascii="黑体" w:hAnsi="宋体"/>
        </w:rPr>
      </w:pPr>
    </w:p>
    <w:p w14:paraId="0F8F0260">
      <w:pPr>
        <w:pStyle w:val="18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3EDE0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53832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uGSmdQAAAAJAQAADwAAAAAAAAABACAAAAAiAAAAZHJzL2Rvd25y&#10;ZXYueG1sUEsBAhQAFAAAAAgAh07iQH1xguHJAQAAgAMAAA4AAAAAAAAAAQAgAAAAIwEAAGRycy9l&#10;Mm9Eb2MueG1sUEsFBgAAAAAGAAYAWQEAAF4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53832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8A1A2"/>
    <w:multiLevelType w:val="singleLevel"/>
    <w:tmpl w:val="BFF8A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106D30D"/>
    <w:multiLevelType w:val="singleLevel"/>
    <w:tmpl w:val="C106D3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CD51EE2"/>
    <w:multiLevelType w:val="singleLevel"/>
    <w:tmpl w:val="ECD51E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8628074"/>
    <w:multiLevelType w:val="singleLevel"/>
    <w:tmpl w:val="086280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2210CDE"/>
    <w:multiLevelType w:val="singleLevel"/>
    <w:tmpl w:val="12210C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802FC3B"/>
    <w:multiLevelType w:val="singleLevel"/>
    <w:tmpl w:val="2802FC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C910709"/>
    <w:multiLevelType w:val="singleLevel"/>
    <w:tmpl w:val="3C9107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3B30127"/>
    <w:multiLevelType w:val="singleLevel"/>
    <w:tmpl w:val="53B30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A7BD771"/>
    <w:multiLevelType w:val="singleLevel"/>
    <w:tmpl w:val="5A7BD7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749A9A3"/>
    <w:multiLevelType w:val="singleLevel"/>
    <w:tmpl w:val="7749A9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jVhMmRmYzBhN2JiNTY2NWQ5MWI4YWFlY2Q5MDcifQ=="/>
  </w:docVars>
  <w:rsids>
    <w:rsidRoot w:val="00B7651F"/>
    <w:rsid w:val="00010438"/>
    <w:rsid w:val="000203E0"/>
    <w:rsid w:val="000210E0"/>
    <w:rsid w:val="00023F32"/>
    <w:rsid w:val="000327CD"/>
    <w:rsid w:val="00033082"/>
    <w:rsid w:val="00052420"/>
    <w:rsid w:val="0006001D"/>
    <w:rsid w:val="000634A6"/>
    <w:rsid w:val="00066041"/>
    <w:rsid w:val="0007448A"/>
    <w:rsid w:val="00075686"/>
    <w:rsid w:val="00077695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1122"/>
    <w:rsid w:val="00114BD6"/>
    <w:rsid w:val="00130F6D"/>
    <w:rsid w:val="00142C42"/>
    <w:rsid w:val="00144082"/>
    <w:rsid w:val="00163A48"/>
    <w:rsid w:val="00164E36"/>
    <w:rsid w:val="00183AA1"/>
    <w:rsid w:val="00190E3F"/>
    <w:rsid w:val="00194AE4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1F3B8C"/>
    <w:rsid w:val="002056AB"/>
    <w:rsid w:val="002125E7"/>
    <w:rsid w:val="00217861"/>
    <w:rsid w:val="002204E4"/>
    <w:rsid w:val="002211BF"/>
    <w:rsid w:val="002339E7"/>
    <w:rsid w:val="00233F15"/>
    <w:rsid w:val="002420F1"/>
    <w:rsid w:val="00250093"/>
    <w:rsid w:val="00253AC8"/>
    <w:rsid w:val="002544AE"/>
    <w:rsid w:val="00256B39"/>
    <w:rsid w:val="0025768A"/>
    <w:rsid w:val="0026033C"/>
    <w:rsid w:val="00272CF4"/>
    <w:rsid w:val="0027339A"/>
    <w:rsid w:val="00274E82"/>
    <w:rsid w:val="002757AB"/>
    <w:rsid w:val="0027777C"/>
    <w:rsid w:val="00277FE7"/>
    <w:rsid w:val="002877FA"/>
    <w:rsid w:val="00287BCF"/>
    <w:rsid w:val="00290962"/>
    <w:rsid w:val="002A4649"/>
    <w:rsid w:val="002A7227"/>
    <w:rsid w:val="002B0773"/>
    <w:rsid w:val="002B0C48"/>
    <w:rsid w:val="002B13CA"/>
    <w:rsid w:val="002B36D5"/>
    <w:rsid w:val="002B7322"/>
    <w:rsid w:val="002C58B6"/>
    <w:rsid w:val="002D0E86"/>
    <w:rsid w:val="002D7C47"/>
    <w:rsid w:val="002E33CE"/>
    <w:rsid w:val="002E3721"/>
    <w:rsid w:val="002E5EA0"/>
    <w:rsid w:val="002F2E95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0A46"/>
    <w:rsid w:val="00344EF2"/>
    <w:rsid w:val="00347EB8"/>
    <w:rsid w:val="00347F80"/>
    <w:rsid w:val="00352F55"/>
    <w:rsid w:val="00353F74"/>
    <w:rsid w:val="003557DE"/>
    <w:rsid w:val="00361BEB"/>
    <w:rsid w:val="00370184"/>
    <w:rsid w:val="00373C8A"/>
    <w:rsid w:val="00377C10"/>
    <w:rsid w:val="00385D41"/>
    <w:rsid w:val="003861BA"/>
    <w:rsid w:val="00393705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3734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73DD9"/>
    <w:rsid w:val="00481F98"/>
    <w:rsid w:val="004852BF"/>
    <w:rsid w:val="00487A46"/>
    <w:rsid w:val="00494579"/>
    <w:rsid w:val="00496AC0"/>
    <w:rsid w:val="00497334"/>
    <w:rsid w:val="004A39BC"/>
    <w:rsid w:val="004A411E"/>
    <w:rsid w:val="004A4D68"/>
    <w:rsid w:val="004B408D"/>
    <w:rsid w:val="004B6F68"/>
    <w:rsid w:val="004B73F7"/>
    <w:rsid w:val="004C2744"/>
    <w:rsid w:val="004D4FB3"/>
    <w:rsid w:val="004D75A6"/>
    <w:rsid w:val="004E3456"/>
    <w:rsid w:val="004F3149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330AE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4F9C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0479"/>
    <w:rsid w:val="006B3BB9"/>
    <w:rsid w:val="006B48AC"/>
    <w:rsid w:val="006B591A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76433"/>
    <w:rsid w:val="0078248F"/>
    <w:rsid w:val="007934A4"/>
    <w:rsid w:val="007A0AC9"/>
    <w:rsid w:val="007A1B70"/>
    <w:rsid w:val="007A3A1D"/>
    <w:rsid w:val="007A57F6"/>
    <w:rsid w:val="007B4FFB"/>
    <w:rsid w:val="007C0BCE"/>
    <w:rsid w:val="007C3566"/>
    <w:rsid w:val="007C794A"/>
    <w:rsid w:val="007D5A33"/>
    <w:rsid w:val="007E620F"/>
    <w:rsid w:val="007E663C"/>
    <w:rsid w:val="007E689C"/>
    <w:rsid w:val="007E7795"/>
    <w:rsid w:val="0080066B"/>
    <w:rsid w:val="00803578"/>
    <w:rsid w:val="008036DF"/>
    <w:rsid w:val="0081355A"/>
    <w:rsid w:val="00815B8E"/>
    <w:rsid w:val="00816D99"/>
    <w:rsid w:val="0082324C"/>
    <w:rsid w:val="00823D71"/>
    <w:rsid w:val="008245AF"/>
    <w:rsid w:val="0083705D"/>
    <w:rsid w:val="0084242F"/>
    <w:rsid w:val="0085780B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0081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6EDF"/>
    <w:rsid w:val="00970E8C"/>
    <w:rsid w:val="00971671"/>
    <w:rsid w:val="009830B2"/>
    <w:rsid w:val="00983EF9"/>
    <w:rsid w:val="0099063E"/>
    <w:rsid w:val="00992356"/>
    <w:rsid w:val="00994793"/>
    <w:rsid w:val="00996AE3"/>
    <w:rsid w:val="009A12D5"/>
    <w:rsid w:val="009A1E27"/>
    <w:rsid w:val="009B04E7"/>
    <w:rsid w:val="009B13CC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C7C"/>
    <w:rsid w:val="00A17885"/>
    <w:rsid w:val="00A2337D"/>
    <w:rsid w:val="00A31BBE"/>
    <w:rsid w:val="00A31D34"/>
    <w:rsid w:val="00A322FF"/>
    <w:rsid w:val="00A333EF"/>
    <w:rsid w:val="00A444DF"/>
    <w:rsid w:val="00A45359"/>
    <w:rsid w:val="00A6308D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A7BB9"/>
    <w:rsid w:val="00AB22C0"/>
    <w:rsid w:val="00AC40F1"/>
    <w:rsid w:val="00AC4C45"/>
    <w:rsid w:val="00AC64CD"/>
    <w:rsid w:val="00AD1085"/>
    <w:rsid w:val="00AD5B40"/>
    <w:rsid w:val="00AD71BD"/>
    <w:rsid w:val="00AE69E9"/>
    <w:rsid w:val="00AF30B9"/>
    <w:rsid w:val="00AF43DF"/>
    <w:rsid w:val="00AF509F"/>
    <w:rsid w:val="00AF67A4"/>
    <w:rsid w:val="00AF7510"/>
    <w:rsid w:val="00B03139"/>
    <w:rsid w:val="00B12D31"/>
    <w:rsid w:val="00B15F6E"/>
    <w:rsid w:val="00B21BEE"/>
    <w:rsid w:val="00B22621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3BF7"/>
    <w:rsid w:val="00B94A16"/>
    <w:rsid w:val="00BA6044"/>
    <w:rsid w:val="00BC2625"/>
    <w:rsid w:val="00BC3200"/>
    <w:rsid w:val="00BC338A"/>
    <w:rsid w:val="00BD7AB0"/>
    <w:rsid w:val="00BD7E8C"/>
    <w:rsid w:val="00BE00E7"/>
    <w:rsid w:val="00BF10A8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2E54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0BCF"/>
    <w:rsid w:val="00CD5BDD"/>
    <w:rsid w:val="00CE560F"/>
    <w:rsid w:val="00CE6EE1"/>
    <w:rsid w:val="00CF096B"/>
    <w:rsid w:val="00CF10F7"/>
    <w:rsid w:val="00CF5EE3"/>
    <w:rsid w:val="00CF691F"/>
    <w:rsid w:val="00D026DC"/>
    <w:rsid w:val="00D15595"/>
    <w:rsid w:val="00D25F66"/>
    <w:rsid w:val="00D3328B"/>
    <w:rsid w:val="00D37307"/>
    <w:rsid w:val="00D44860"/>
    <w:rsid w:val="00D47689"/>
    <w:rsid w:val="00D50C42"/>
    <w:rsid w:val="00D57CF5"/>
    <w:rsid w:val="00D612BC"/>
    <w:rsid w:val="00D62F98"/>
    <w:rsid w:val="00D66FD6"/>
    <w:rsid w:val="00D77757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073F"/>
    <w:rsid w:val="00E545FF"/>
    <w:rsid w:val="00E56CDC"/>
    <w:rsid w:val="00E60631"/>
    <w:rsid w:val="00E6080E"/>
    <w:rsid w:val="00E62524"/>
    <w:rsid w:val="00E64168"/>
    <w:rsid w:val="00E7081D"/>
    <w:rsid w:val="00E70904"/>
    <w:rsid w:val="00E71319"/>
    <w:rsid w:val="00E75171"/>
    <w:rsid w:val="00E77FF2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6E38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26DD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4583A5F"/>
    <w:rsid w:val="0A8128A6"/>
    <w:rsid w:val="0BF32A1B"/>
    <w:rsid w:val="10BD2C22"/>
    <w:rsid w:val="1BC31618"/>
    <w:rsid w:val="1CCC5809"/>
    <w:rsid w:val="1D775B9E"/>
    <w:rsid w:val="22987C80"/>
    <w:rsid w:val="24192CCC"/>
    <w:rsid w:val="257DA557"/>
    <w:rsid w:val="302E54F0"/>
    <w:rsid w:val="39A66CD4"/>
    <w:rsid w:val="3CD52CE1"/>
    <w:rsid w:val="410F2E6A"/>
    <w:rsid w:val="4430136C"/>
    <w:rsid w:val="4AB0382B"/>
    <w:rsid w:val="4C274FFC"/>
    <w:rsid w:val="54EE2F0C"/>
    <w:rsid w:val="569868B5"/>
    <w:rsid w:val="59563E99"/>
    <w:rsid w:val="611F6817"/>
    <w:rsid w:val="66CA1754"/>
    <w:rsid w:val="6F1E65D4"/>
    <w:rsid w:val="6F266C86"/>
    <w:rsid w:val="6F5042C2"/>
    <w:rsid w:val="74316312"/>
    <w:rsid w:val="780F13C8"/>
    <w:rsid w:val="78540E39"/>
    <w:rsid w:val="7C385448"/>
    <w:rsid w:val="7CB3663D"/>
    <w:rsid w:val="F4BA5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2322</Words>
  <Characters>2568</Characters>
  <Lines>30</Lines>
  <Paragraphs>8</Paragraphs>
  <TotalTime>0</TotalTime>
  <ScaleCrop>false</ScaleCrop>
  <LinksUpToDate>false</LinksUpToDate>
  <CharactersWithSpaces>2591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juvg</dc:creator>
  <cp:lastModifiedBy>Vivien Wu</cp:lastModifiedBy>
  <cp:lastPrinted>2023-09-17T23:48:00Z</cp:lastPrinted>
  <dcterms:modified xsi:type="dcterms:W3CDTF">2025-03-09T15:41:41Z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497B8632135746508EBF5D43EEA6868C_13</vt:lpwstr>
  </property>
  <property fmtid="{D5CDD505-2E9C-101B-9397-08002B2CF9AE}" pid="4" name="KSOTemplateDocerSaveRecord">
    <vt:lpwstr>eyJoZGlkIjoiZDQ1NjVhMmRmYzBhN2JiNTY2NWQ5MWI4YWFlY2Q5MDciLCJ1c2VySWQiOiI0NTkwNjQ4NjkifQ==</vt:lpwstr>
  </property>
</Properties>
</file>