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459579">
      <w:pPr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《珠宝商务英语与应用》本科课程教学大纲</w:t>
      </w:r>
    </w:p>
    <w:p w14:paraId="7B83F8FA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ascii="黑体" w:hAnsi="宋体"/>
        </w:rPr>
        <w:t>一</w:t>
      </w:r>
      <w:r>
        <w:rPr>
          <w:rFonts w:hint="eastAsia" w:ascii="黑体" w:hAnsi="宋体"/>
        </w:rPr>
        <w:t>、课程</w:t>
      </w:r>
      <w:r>
        <w:rPr>
          <w:rFonts w:ascii="黑体" w:hAnsi="宋体"/>
        </w:rPr>
        <w:t>基本信息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731"/>
        <w:gridCol w:w="2314"/>
        <w:gridCol w:w="1302"/>
        <w:gridCol w:w="874"/>
        <w:gridCol w:w="584"/>
        <w:gridCol w:w="862"/>
        <w:gridCol w:w="804"/>
      </w:tblGrid>
      <w:tr w14:paraId="19E76AAA">
        <w:trPr>
          <w:trHeight w:val="340" w:hRule="atLeast"/>
        </w:trPr>
        <w:tc>
          <w:tcPr>
            <w:tcW w:w="1731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10F38D9A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6740" w:type="dxa"/>
            <w:gridSpan w:val="6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6A8C0D4E">
            <w:pPr>
              <w:widowControl w:val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（中文）珠宝商务英语与应用</w:t>
            </w:r>
          </w:p>
        </w:tc>
      </w:tr>
      <w:tr w14:paraId="485CCE56">
        <w:trPr>
          <w:trHeight w:val="340" w:hRule="atLeast"/>
        </w:trPr>
        <w:tc>
          <w:tcPr>
            <w:tcW w:w="1731" w:type="dxa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5DF3C2DD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40" w:type="dxa"/>
            <w:gridSpan w:val="6"/>
            <w:tcBorders>
              <w:right w:val="single" w:color="auto" w:sz="12" w:space="0"/>
            </w:tcBorders>
            <w:vAlign w:val="center"/>
          </w:tcPr>
          <w:p w14:paraId="6B878095">
            <w:pPr>
              <w:widowControl w:val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（英文）</w:t>
            </w:r>
            <w:r>
              <w:rPr>
                <w:rFonts w:hint="default" w:ascii="Arial Regular" w:hAnsi="Arial Regular" w:cs="Arial Regular"/>
                <w:b w:val="0"/>
                <w:sz w:val="24"/>
                <w:szCs w:val="28"/>
              </w:rPr>
              <w:t>Jewelry Business English Application</w:t>
            </w:r>
          </w:p>
        </w:tc>
      </w:tr>
      <w:tr w14:paraId="54ACE28D">
        <w:trPr>
          <w:trHeight w:val="340" w:hRule="atLeast"/>
        </w:trPr>
        <w:tc>
          <w:tcPr>
            <w:tcW w:w="173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2B649CF9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课程代码</w:t>
            </w:r>
          </w:p>
        </w:tc>
        <w:tc>
          <w:tcPr>
            <w:tcW w:w="2314" w:type="dxa"/>
            <w:vAlign w:val="center"/>
          </w:tcPr>
          <w:p w14:paraId="4DE6CD3B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2120104</w:t>
            </w:r>
          </w:p>
        </w:tc>
        <w:tc>
          <w:tcPr>
            <w:tcW w:w="2176" w:type="dxa"/>
            <w:gridSpan w:val="2"/>
            <w:vAlign w:val="center"/>
          </w:tcPr>
          <w:p w14:paraId="2A5C22EE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</w:t>
            </w:r>
            <w:bookmarkStart w:id="6" w:name="_GoBack"/>
            <w:bookmarkEnd w:id="6"/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学分</w:t>
            </w:r>
          </w:p>
        </w:tc>
        <w:tc>
          <w:tcPr>
            <w:tcW w:w="2250" w:type="dxa"/>
            <w:gridSpan w:val="3"/>
            <w:tcBorders>
              <w:right w:val="single" w:color="auto" w:sz="12" w:space="0"/>
            </w:tcBorders>
            <w:vAlign w:val="center"/>
          </w:tcPr>
          <w:p w14:paraId="2BB4DDC7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77964243">
        <w:trPr>
          <w:trHeight w:val="340" w:hRule="atLeast"/>
        </w:trPr>
        <w:tc>
          <w:tcPr>
            <w:tcW w:w="173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077C0B1A">
            <w:pPr>
              <w:widowControl w:val="0"/>
              <w:jc w:val="center"/>
              <w:rPr>
                <w:sz w:val="21"/>
                <w:szCs w:val="18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314" w:type="dxa"/>
            <w:vAlign w:val="center"/>
          </w:tcPr>
          <w:p w14:paraId="3CC289AF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302" w:type="dxa"/>
            <w:vAlign w:val="center"/>
          </w:tcPr>
          <w:p w14:paraId="0E28E2FB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理论学时</w:t>
            </w:r>
          </w:p>
        </w:tc>
        <w:tc>
          <w:tcPr>
            <w:tcW w:w="874" w:type="dxa"/>
            <w:vAlign w:val="center"/>
          </w:tcPr>
          <w:p w14:paraId="519879F2">
            <w:pPr>
              <w:widowControl w:val="0"/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446" w:type="dxa"/>
            <w:gridSpan w:val="2"/>
            <w:vAlign w:val="center"/>
          </w:tcPr>
          <w:p w14:paraId="618B0CAF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实践学时</w:t>
            </w:r>
          </w:p>
        </w:tc>
        <w:tc>
          <w:tcPr>
            <w:tcW w:w="804" w:type="dxa"/>
            <w:tcBorders>
              <w:right w:val="single" w:color="auto" w:sz="12" w:space="0"/>
            </w:tcBorders>
            <w:vAlign w:val="center"/>
          </w:tcPr>
          <w:p w14:paraId="2E727243">
            <w:pPr>
              <w:widowControl w:val="0"/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 w14:paraId="51FE9F69">
        <w:trPr>
          <w:trHeight w:val="340" w:hRule="atLeast"/>
        </w:trPr>
        <w:tc>
          <w:tcPr>
            <w:tcW w:w="173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5A7900F2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开课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2314" w:type="dxa"/>
            <w:vAlign w:val="center"/>
          </w:tcPr>
          <w:p w14:paraId="6F262073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珠宝学院</w:t>
            </w:r>
          </w:p>
        </w:tc>
        <w:tc>
          <w:tcPr>
            <w:tcW w:w="2176" w:type="dxa"/>
            <w:gridSpan w:val="2"/>
            <w:vAlign w:val="center"/>
          </w:tcPr>
          <w:p w14:paraId="24B7C222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适用</w:t>
            </w: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与年级</w:t>
            </w:r>
          </w:p>
        </w:tc>
        <w:tc>
          <w:tcPr>
            <w:tcW w:w="2250" w:type="dxa"/>
            <w:gridSpan w:val="3"/>
            <w:tcBorders>
              <w:right w:val="single" w:color="auto" w:sz="12" w:space="0"/>
            </w:tcBorders>
            <w:vAlign w:val="center"/>
          </w:tcPr>
          <w:p w14:paraId="389F4AA0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产品设计（珠宝首饰设计）本科三年级</w:t>
            </w:r>
          </w:p>
        </w:tc>
      </w:tr>
      <w:tr w14:paraId="187123D6">
        <w:trPr>
          <w:trHeight w:val="340" w:hRule="atLeast"/>
        </w:trPr>
        <w:tc>
          <w:tcPr>
            <w:tcW w:w="173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30365D55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课程类别与性质</w:t>
            </w:r>
          </w:p>
        </w:tc>
        <w:tc>
          <w:tcPr>
            <w:tcW w:w="2314" w:type="dxa"/>
            <w:vAlign w:val="center"/>
          </w:tcPr>
          <w:p w14:paraId="30A745B8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学科基础课程，专业基础选修课</w:t>
            </w:r>
          </w:p>
        </w:tc>
        <w:tc>
          <w:tcPr>
            <w:tcW w:w="2176" w:type="dxa"/>
            <w:gridSpan w:val="2"/>
            <w:vAlign w:val="center"/>
          </w:tcPr>
          <w:p w14:paraId="1C2A7465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考核方式</w:t>
            </w:r>
          </w:p>
        </w:tc>
        <w:tc>
          <w:tcPr>
            <w:tcW w:w="2250" w:type="dxa"/>
            <w:gridSpan w:val="3"/>
            <w:tcBorders>
              <w:right w:val="single" w:color="auto" w:sz="12" w:space="0"/>
            </w:tcBorders>
            <w:vAlign w:val="center"/>
          </w:tcPr>
          <w:p w14:paraId="23C00449">
            <w:pPr>
              <w:widowControl w:val="0"/>
              <w:jc w:val="center"/>
              <w:rPr>
                <w:color w:val="000000" w:themeColor="text1"/>
                <w:sz w:val="2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</w:tr>
      <w:tr w14:paraId="4AE3E45B">
        <w:trPr>
          <w:trHeight w:val="340" w:hRule="atLeast"/>
        </w:trPr>
        <w:tc>
          <w:tcPr>
            <w:tcW w:w="173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47788EE0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用教材</w:t>
            </w:r>
          </w:p>
        </w:tc>
        <w:tc>
          <w:tcPr>
            <w:tcW w:w="4490" w:type="dxa"/>
            <w:gridSpan w:val="3"/>
            <w:vAlign w:val="center"/>
          </w:tcPr>
          <w:p w14:paraId="49237B1D">
            <w:pPr>
              <w:widowControl w:val="0"/>
              <w:jc w:val="both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讲义和课堂幻灯片</w:t>
            </w:r>
          </w:p>
        </w:tc>
        <w:tc>
          <w:tcPr>
            <w:tcW w:w="1446" w:type="dxa"/>
            <w:gridSpan w:val="2"/>
            <w:vAlign w:val="center"/>
          </w:tcPr>
          <w:p w14:paraId="7136DC34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是否为</w:t>
            </w:r>
          </w:p>
          <w:p w14:paraId="60AA9A78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马工程教材</w:t>
            </w:r>
          </w:p>
        </w:tc>
        <w:tc>
          <w:tcPr>
            <w:tcW w:w="804" w:type="dxa"/>
            <w:tcBorders>
              <w:right w:val="single" w:color="auto" w:sz="12" w:space="0"/>
            </w:tcBorders>
            <w:vAlign w:val="center"/>
          </w:tcPr>
          <w:p w14:paraId="0BF4D6DF">
            <w:pPr>
              <w:widowControl w:val="0"/>
              <w:ind w:left="120" w:leftChars="50"/>
              <w:jc w:val="left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42361755">
        <w:trPr>
          <w:trHeight w:val="680" w:hRule="atLeast"/>
        </w:trPr>
        <w:tc>
          <w:tcPr>
            <w:tcW w:w="173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23BC4B81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先修课程</w:t>
            </w:r>
          </w:p>
        </w:tc>
        <w:tc>
          <w:tcPr>
            <w:tcW w:w="6740" w:type="dxa"/>
            <w:gridSpan w:val="6"/>
            <w:tcBorders>
              <w:right w:val="single" w:color="auto" w:sz="12" w:space="0"/>
            </w:tcBorders>
            <w:vAlign w:val="center"/>
          </w:tcPr>
          <w:p w14:paraId="09A9628B">
            <w:pPr>
              <w:pStyle w:val="14"/>
              <w:widowControl w:val="0"/>
              <w:jc w:val="both"/>
            </w:pPr>
            <w:r>
              <w:rPr>
                <w:rFonts w:hAnsi="宋体"/>
                <w:sz w:val="22"/>
              </w:rPr>
              <w:t>大学英语</w:t>
            </w:r>
            <w:r>
              <w:rPr>
                <w:rFonts w:hint="eastAsia" w:hAnsi="宋体"/>
                <w:sz w:val="22"/>
              </w:rPr>
              <w:t>1 2020229（4）、</w:t>
            </w:r>
            <w:r>
              <w:rPr>
                <w:rFonts w:hAnsi="宋体"/>
                <w:sz w:val="22"/>
              </w:rPr>
              <w:t>首饰制作</w:t>
            </w:r>
            <w:r>
              <w:rPr>
                <w:rFonts w:hint="eastAsia" w:hAnsi="宋体"/>
                <w:sz w:val="22"/>
              </w:rPr>
              <w:t>（1）2040090</w:t>
            </w:r>
            <w:r>
              <w:rPr>
                <w:rFonts w:hint="eastAsia" w:ascii="宋体" w:hAnsi="宋体"/>
                <w:sz w:val="22"/>
              </w:rPr>
              <w:t>、</w:t>
            </w:r>
            <w:r>
              <w:rPr>
                <w:rFonts w:hAnsi="宋体"/>
                <w:sz w:val="22"/>
              </w:rPr>
              <w:t>宝石加工工艺学</w:t>
            </w:r>
            <w:r>
              <w:rPr>
                <w:rFonts w:hint="eastAsia" w:hAnsi="宋体"/>
                <w:sz w:val="22"/>
              </w:rPr>
              <w:t>21200037（2）</w:t>
            </w:r>
          </w:p>
        </w:tc>
      </w:tr>
      <w:tr w14:paraId="43ACF0AC">
        <w:trPr>
          <w:trHeight w:val="2432" w:hRule="atLeast"/>
        </w:trPr>
        <w:tc>
          <w:tcPr>
            <w:tcW w:w="173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3029F17F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课程简介</w:t>
            </w:r>
          </w:p>
        </w:tc>
        <w:tc>
          <w:tcPr>
            <w:tcW w:w="6740" w:type="dxa"/>
            <w:gridSpan w:val="6"/>
            <w:tcBorders>
              <w:right w:val="single" w:color="auto" w:sz="12" w:space="0"/>
            </w:tcBorders>
          </w:tcPr>
          <w:p w14:paraId="542251E7">
            <w:pPr>
              <w:pStyle w:val="14"/>
              <w:widowControl w:val="0"/>
              <w:ind w:firstLine="440" w:firstLineChars="200"/>
              <w:jc w:val="both"/>
            </w:pPr>
            <w:r>
              <w:rPr>
                <w:rFonts w:hint="eastAsia" w:ascii="宋体" w:hAnsi="宋体"/>
                <w:sz w:val="22"/>
                <w:szCs w:val="20"/>
              </w:rPr>
              <w:t>本课程主要介绍珠宝营销所需的各类基本专业术语，包括珠宝基础英语、珠宝商品零售英语及珠宝贸易谈判</w:t>
            </w:r>
            <w:r>
              <w:rPr>
                <w:rFonts w:hint="eastAsia" w:ascii="宋体" w:hAnsi="宋体"/>
                <w:sz w:val="22"/>
                <w:szCs w:val="20"/>
                <w:lang w:val="en-US" w:eastAsia="zh-CN"/>
              </w:rPr>
              <w:t>和面试</w:t>
            </w:r>
            <w:r>
              <w:rPr>
                <w:rFonts w:hint="eastAsia" w:ascii="宋体" w:hAnsi="宋体"/>
                <w:sz w:val="22"/>
                <w:szCs w:val="20"/>
              </w:rPr>
              <w:t>英语</w:t>
            </w:r>
            <w:r>
              <w:rPr>
                <w:rFonts w:hint="eastAsia" w:ascii="宋体" w:hAnsi="宋体"/>
                <w:sz w:val="22"/>
                <w:szCs w:val="20"/>
                <w:lang w:val="en-US" w:eastAsia="zh-CN"/>
              </w:rPr>
              <w:t>四</w:t>
            </w:r>
            <w:r>
              <w:rPr>
                <w:rFonts w:hint="eastAsia" w:ascii="宋体" w:hAnsi="宋体"/>
                <w:sz w:val="22"/>
                <w:szCs w:val="20"/>
              </w:rPr>
              <w:t>个部分，内容涉及到</w:t>
            </w:r>
            <w:r>
              <w:rPr>
                <w:rFonts w:hint="eastAsia" w:ascii="宋体" w:hAnsi="宋体"/>
                <w:sz w:val="22"/>
                <w:szCs w:val="20"/>
                <w:lang w:val="en-US" w:eastAsia="zh-CN"/>
              </w:rPr>
              <w:t>珠宝专业英</w:t>
            </w:r>
            <w:r>
              <w:rPr>
                <w:rFonts w:hint="eastAsia" w:ascii="宋体" w:hAnsi="宋体"/>
                <w:sz w:val="22"/>
                <w:szCs w:val="20"/>
              </w:rPr>
              <w:t>语</w:t>
            </w:r>
            <w:r>
              <w:rPr>
                <w:rFonts w:hint="eastAsia" w:ascii="宋体" w:hAnsi="宋体"/>
                <w:sz w:val="22"/>
                <w:szCs w:val="20"/>
                <w:lang w:eastAsia="zh-CN"/>
              </w:rPr>
              <w:t>、</w:t>
            </w:r>
            <w:r>
              <w:rPr>
                <w:rFonts w:hint="eastAsia" w:ascii="宋体" w:hAnsi="宋体"/>
                <w:sz w:val="22"/>
                <w:szCs w:val="20"/>
              </w:rPr>
              <w:t>珠宝商贸</w:t>
            </w:r>
            <w:r>
              <w:rPr>
                <w:rFonts w:hint="eastAsia" w:ascii="宋体" w:hAnsi="宋体"/>
                <w:sz w:val="22"/>
                <w:szCs w:val="20"/>
                <w:lang w:val="en-US" w:eastAsia="zh-CN"/>
              </w:rPr>
              <w:t>和英文求职（简历制作）</w:t>
            </w:r>
            <w:r>
              <w:rPr>
                <w:rFonts w:hint="eastAsia" w:ascii="宋体" w:hAnsi="宋体"/>
                <w:sz w:val="22"/>
                <w:szCs w:val="20"/>
              </w:rPr>
              <w:t>各个环节，包括</w:t>
            </w:r>
            <w:r>
              <w:rPr>
                <w:rFonts w:hint="eastAsia" w:ascii="宋体" w:hAnsi="宋体"/>
                <w:sz w:val="22"/>
                <w:szCs w:val="20"/>
                <w:lang w:val="en-US" w:eastAsia="zh-CN"/>
              </w:rPr>
              <w:t>宝石、加工和设计等英文表达、</w:t>
            </w:r>
            <w:r>
              <w:rPr>
                <w:rFonts w:hint="eastAsia" w:ascii="宋体" w:hAnsi="宋体"/>
                <w:sz w:val="22"/>
                <w:szCs w:val="20"/>
              </w:rPr>
              <w:t>客户接待、商品展示、产品说明、贸易洽谈、付款交货和售后服务等场景。通过口语表达和练习提升学生的珠宝英语商务交流应用能力。学生通过本课程的学习，可以掌握整个珠宝营销过程中所必备的英语</w:t>
            </w:r>
            <w:r>
              <w:rPr>
                <w:rFonts w:hint="eastAsia" w:ascii="宋体" w:hAnsi="宋体"/>
                <w:sz w:val="22"/>
                <w:szCs w:val="20"/>
                <w:lang w:val="en-US" w:eastAsia="zh-CN"/>
              </w:rPr>
              <w:t>会话</w:t>
            </w:r>
            <w:r>
              <w:rPr>
                <w:rFonts w:hint="eastAsia" w:ascii="宋体" w:hAnsi="宋体"/>
                <w:sz w:val="22"/>
                <w:szCs w:val="20"/>
              </w:rPr>
              <w:t>知识，能用英语向客人对产品作通俗的解释。强化学生在商品展示、定制订单谈判</w:t>
            </w:r>
            <w:r>
              <w:rPr>
                <w:rFonts w:hint="eastAsia" w:ascii="宋体" w:hAnsi="宋体"/>
                <w:sz w:val="22"/>
                <w:szCs w:val="20"/>
                <w:lang w:eastAsia="zh-CN"/>
              </w:rPr>
              <w:t>，</w:t>
            </w:r>
            <w:r>
              <w:rPr>
                <w:rFonts w:hint="eastAsia" w:ascii="宋体" w:hAnsi="宋体"/>
                <w:sz w:val="22"/>
                <w:szCs w:val="20"/>
              </w:rPr>
              <w:t>适应在珠宝批发、零售等业务活动中与国外客商进行面对面交流的需要</w:t>
            </w:r>
            <w:r>
              <w:rPr>
                <w:rFonts w:hint="eastAsia" w:ascii="宋体" w:hAnsi="宋体"/>
                <w:sz w:val="22"/>
                <w:szCs w:val="20"/>
                <w:lang w:eastAsia="zh-CN"/>
              </w:rPr>
              <w:t>，助力其胜任国际珠宝展销会接待、跨境供应链协作等高阶职业需求，实现从设计思维到商业沟通的双语转化</w:t>
            </w:r>
            <w:r>
              <w:rPr>
                <w:rFonts w:hint="eastAsia" w:ascii="宋体" w:hAnsi="宋体"/>
                <w:sz w:val="22"/>
                <w:szCs w:val="20"/>
              </w:rPr>
              <w:t>。</w:t>
            </w:r>
          </w:p>
        </w:tc>
      </w:tr>
      <w:tr w14:paraId="6B9113A0">
        <w:trPr>
          <w:trHeight w:val="90" w:hRule="atLeast"/>
        </w:trPr>
        <w:tc>
          <w:tcPr>
            <w:tcW w:w="1731" w:type="dxa"/>
            <w:tcBorders>
              <w:left w:val="single" w:color="auto" w:sz="12" w:space="0"/>
              <w:bottom w:val="double" w:color="auto" w:sz="4" w:space="0"/>
            </w:tcBorders>
            <w:shd w:val="clear" w:color="auto" w:fill="auto"/>
            <w:vAlign w:val="center"/>
          </w:tcPr>
          <w:p w14:paraId="5C99C396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选课建议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与学习要求</w:t>
            </w:r>
          </w:p>
        </w:tc>
        <w:tc>
          <w:tcPr>
            <w:tcW w:w="6740" w:type="dxa"/>
            <w:gridSpan w:val="6"/>
            <w:tcBorders>
              <w:bottom w:val="double" w:color="auto" w:sz="4" w:space="0"/>
              <w:right w:val="single" w:color="auto" w:sz="12" w:space="0"/>
            </w:tcBorders>
          </w:tcPr>
          <w:p w14:paraId="11F127D0">
            <w:pPr>
              <w:pStyle w:val="14"/>
              <w:widowControl w:val="0"/>
              <w:jc w:val="both"/>
            </w:pPr>
            <w:r>
              <w:rPr>
                <w:rFonts w:hAnsi="宋体"/>
                <w:sz w:val="22"/>
              </w:rPr>
              <w:t>本课程适于</w:t>
            </w:r>
            <w:r>
              <w:rPr>
                <w:rFonts w:hint="eastAsia" w:hAnsi="宋体"/>
                <w:sz w:val="22"/>
              </w:rPr>
              <w:t>产品设计（珠宝首饰设计）</w:t>
            </w:r>
            <w:r>
              <w:rPr>
                <w:rFonts w:hAnsi="宋体"/>
                <w:sz w:val="22"/>
              </w:rPr>
              <w:t>专业本科学生</w:t>
            </w:r>
            <w:r>
              <w:rPr>
                <w:rFonts w:hint="eastAsia" w:hAnsi="宋体"/>
                <w:sz w:val="22"/>
              </w:rPr>
              <w:t>三</w:t>
            </w:r>
            <w:r>
              <w:rPr>
                <w:rFonts w:hAnsi="宋体"/>
                <w:sz w:val="22"/>
              </w:rPr>
              <w:t>年级第</w:t>
            </w:r>
            <w:r>
              <w:rPr>
                <w:rFonts w:hint="eastAsia" w:hAnsi="宋体"/>
                <w:sz w:val="22"/>
              </w:rPr>
              <w:t>二</w:t>
            </w:r>
            <w:r>
              <w:rPr>
                <w:rFonts w:hAnsi="宋体"/>
                <w:sz w:val="22"/>
              </w:rPr>
              <w:t>学期学习，是该专业</w:t>
            </w:r>
            <w:r>
              <w:rPr>
                <w:rFonts w:hint="eastAsia" w:hAnsi="宋体"/>
                <w:sz w:val="22"/>
              </w:rPr>
              <w:t>基础选修课</w:t>
            </w:r>
            <w:r>
              <w:rPr>
                <w:rFonts w:hAnsi="宋体"/>
                <w:sz w:val="22"/>
              </w:rPr>
              <w:t>。学习本课程的学生应具备大学英语、首饰制作、宝石加工工艺学等基础知识。</w:t>
            </w:r>
          </w:p>
        </w:tc>
      </w:tr>
      <w:tr w14:paraId="0C87ACB2">
        <w:trPr>
          <w:trHeight w:val="510" w:hRule="atLeast"/>
        </w:trPr>
        <w:tc>
          <w:tcPr>
            <w:tcW w:w="1731" w:type="dxa"/>
            <w:tcBorders>
              <w:top w:val="double" w:color="auto" w:sz="4" w:space="0"/>
              <w:left w:val="single" w:color="auto" w:sz="12" w:space="0"/>
            </w:tcBorders>
            <w:shd w:val="clear" w:color="auto" w:fill="auto"/>
            <w:vAlign w:val="center"/>
          </w:tcPr>
          <w:p w14:paraId="37AAE2C0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大纲编写人</w:t>
            </w:r>
          </w:p>
        </w:tc>
        <w:tc>
          <w:tcPr>
            <w:tcW w:w="3616" w:type="dxa"/>
            <w:gridSpan w:val="2"/>
            <w:tcBorders>
              <w:top w:val="double" w:color="auto" w:sz="4" w:space="0"/>
            </w:tcBorders>
            <w:vAlign w:val="center"/>
          </w:tcPr>
          <w:p w14:paraId="31C9C2E2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0" distR="0">
                  <wp:extent cx="750570" cy="375920"/>
                  <wp:effectExtent l="0" t="0" r="0" b="5080"/>
                  <wp:docPr id="1" name="图片 1" descr="卡通画&#10;&#10;中度可信度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卡通画&#10;&#10;中度可信度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5903" cy="3838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8" w:type="dxa"/>
            <w:gridSpan w:val="2"/>
            <w:tcBorders>
              <w:top w:val="double" w:color="auto" w:sz="4" w:space="0"/>
            </w:tcBorders>
            <w:vAlign w:val="center"/>
          </w:tcPr>
          <w:p w14:paraId="2446177E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制/修订时间</w:t>
            </w:r>
          </w:p>
        </w:tc>
        <w:tc>
          <w:tcPr>
            <w:tcW w:w="1666" w:type="dxa"/>
            <w:gridSpan w:val="2"/>
            <w:tcBorders>
              <w:top w:val="double" w:color="auto" w:sz="4" w:space="0"/>
              <w:right w:val="single" w:color="auto" w:sz="12" w:space="0"/>
            </w:tcBorders>
            <w:vAlign w:val="center"/>
          </w:tcPr>
          <w:p w14:paraId="300009E0">
            <w:pPr>
              <w:widowControl w:val="0"/>
              <w:jc w:val="center"/>
              <w:rPr>
                <w:rFonts w:hint="default" w:ascii="Times New Roman" w:hAnsi="Times New Roman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eastAsia="zh-CN"/>
              </w:rPr>
              <w:t>2025-2-2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</w:tr>
      <w:tr w14:paraId="0DFE3353">
        <w:trPr>
          <w:trHeight w:val="510" w:hRule="atLeast"/>
        </w:trPr>
        <w:tc>
          <w:tcPr>
            <w:tcW w:w="173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4BF8E5BB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专业负责人</w:t>
            </w:r>
          </w:p>
        </w:tc>
        <w:tc>
          <w:tcPr>
            <w:tcW w:w="3616" w:type="dxa"/>
            <w:gridSpan w:val="2"/>
            <w:vAlign w:val="center"/>
          </w:tcPr>
          <w:p w14:paraId="26921233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1101725</wp:posOffset>
                  </wp:positionH>
                  <wp:positionV relativeFrom="paragraph">
                    <wp:posOffset>-12700</wp:posOffset>
                  </wp:positionV>
                  <wp:extent cx="542290" cy="313690"/>
                  <wp:effectExtent l="0" t="0" r="16510" b="16510"/>
                  <wp:wrapNone/>
                  <wp:docPr id="2" name="图片 2" descr="温广珍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温广珍签名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290" cy="313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58" w:type="dxa"/>
            <w:gridSpan w:val="2"/>
            <w:vAlign w:val="center"/>
          </w:tcPr>
          <w:p w14:paraId="4CD0EB25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审定时间</w:t>
            </w:r>
          </w:p>
        </w:tc>
        <w:tc>
          <w:tcPr>
            <w:tcW w:w="1666" w:type="dxa"/>
            <w:gridSpan w:val="2"/>
            <w:tcBorders>
              <w:right w:val="single" w:color="auto" w:sz="12" w:space="0"/>
            </w:tcBorders>
            <w:vAlign w:val="center"/>
          </w:tcPr>
          <w:p w14:paraId="05D9C243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eastAsia="zh-CN"/>
              </w:rPr>
              <w:t>2025-2-2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</w:tr>
      <w:tr w14:paraId="7A0FD8FE">
        <w:trPr>
          <w:trHeight w:val="510" w:hRule="atLeast"/>
        </w:trPr>
        <w:tc>
          <w:tcPr>
            <w:tcW w:w="1731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 w14:paraId="6C03A65B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学院负责人</w:t>
            </w:r>
          </w:p>
        </w:tc>
        <w:tc>
          <w:tcPr>
            <w:tcW w:w="3616" w:type="dxa"/>
            <w:gridSpan w:val="2"/>
            <w:tcBorders>
              <w:bottom w:val="single" w:color="auto" w:sz="12" w:space="0"/>
            </w:tcBorders>
            <w:vAlign w:val="center"/>
          </w:tcPr>
          <w:p w14:paraId="6311DB88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58" w:type="dxa"/>
            <w:gridSpan w:val="2"/>
            <w:tcBorders>
              <w:bottom w:val="single" w:color="auto" w:sz="12" w:space="0"/>
            </w:tcBorders>
            <w:vAlign w:val="center"/>
          </w:tcPr>
          <w:p w14:paraId="3F1FCE97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批准时间</w:t>
            </w:r>
          </w:p>
        </w:tc>
        <w:tc>
          <w:tcPr>
            <w:tcW w:w="1666" w:type="dxa"/>
            <w:gridSpan w:val="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42455D0F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</w:tbl>
    <w:p w14:paraId="4D049297">
      <w:pPr>
        <w:spacing w:line="100" w:lineRule="exact"/>
        <w:rPr>
          <w:rFonts w:ascii="Arial" w:hAnsi="Arial" w:eastAsia="黑体"/>
        </w:rPr>
      </w:pPr>
      <w:r>
        <w:br w:type="page"/>
      </w:r>
    </w:p>
    <w:p w14:paraId="437890AF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二、课程目标与毕业要求</w:t>
      </w:r>
    </w:p>
    <w:p w14:paraId="03535DA6">
      <w:pPr>
        <w:pStyle w:val="17"/>
        <w:spacing w:before="81" w:after="163"/>
      </w:pPr>
      <w:r>
        <w:rPr>
          <w:rFonts w:hint="eastAsia"/>
        </w:rPr>
        <w:t xml:space="preserve">（一）课程目标 </w:t>
      </w:r>
    </w:p>
    <w:tbl>
      <w:tblPr>
        <w:tblStyle w:val="7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238"/>
        <w:gridCol w:w="786"/>
        <w:gridCol w:w="6452"/>
      </w:tblGrid>
      <w:tr w14:paraId="7BB9CF1E">
        <w:trPr>
          <w:trHeight w:val="454" w:hRule="atLeast"/>
          <w:jc w:val="center"/>
        </w:trPr>
        <w:tc>
          <w:tcPr>
            <w:tcW w:w="1209" w:type="dxa"/>
            <w:vAlign w:val="center"/>
          </w:tcPr>
          <w:p w14:paraId="303C5524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67" w:type="dxa"/>
            <w:shd w:val="clear" w:color="auto" w:fill="auto"/>
            <w:vAlign w:val="center"/>
          </w:tcPr>
          <w:p w14:paraId="159B0386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300" w:type="dxa"/>
            <w:vAlign w:val="center"/>
          </w:tcPr>
          <w:p w14:paraId="76E2F40F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内容</w:t>
            </w:r>
          </w:p>
        </w:tc>
      </w:tr>
      <w:tr w14:paraId="377B9207">
        <w:trPr>
          <w:trHeight w:val="340" w:hRule="atLeast"/>
          <w:jc w:val="center"/>
        </w:trPr>
        <w:tc>
          <w:tcPr>
            <w:tcW w:w="1209" w:type="dxa"/>
            <w:vAlign w:val="center"/>
          </w:tcPr>
          <w:p w14:paraId="224BB2DA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67" w:type="dxa"/>
            <w:shd w:val="clear" w:color="auto" w:fill="auto"/>
            <w:vAlign w:val="center"/>
          </w:tcPr>
          <w:p w14:paraId="4D191FE6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300" w:type="dxa"/>
            <w:vAlign w:val="center"/>
          </w:tcPr>
          <w:p w14:paraId="57E99810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掌握</w:t>
            </w:r>
            <w:r>
              <w:rPr>
                <w:rFonts w:hint="eastAsia" w:ascii="宋体" w:hAnsi="宋体"/>
                <w:sz w:val="22"/>
                <w:szCs w:val="20"/>
                <w:lang w:val="en-US" w:eastAsia="zh-CN"/>
              </w:rPr>
              <w:t>宝石学、加工和设计等英文表达，</w:t>
            </w:r>
            <w:r>
              <w:rPr>
                <w:rFonts w:hint="eastAsia" w:ascii="宋体" w:hAnsi="宋体"/>
                <w:bCs/>
              </w:rPr>
              <w:t>了解客户接待、商品展示、产品说明、贸易洽谈、付款交货和售后服务等场景英语表达</w:t>
            </w:r>
          </w:p>
        </w:tc>
      </w:tr>
      <w:tr w14:paraId="5170E549">
        <w:trPr>
          <w:trHeight w:val="340" w:hRule="atLeast"/>
          <w:jc w:val="center"/>
        </w:trPr>
        <w:tc>
          <w:tcPr>
            <w:tcW w:w="1209" w:type="dxa"/>
            <w:vMerge w:val="restart"/>
            <w:vAlign w:val="center"/>
          </w:tcPr>
          <w:p w14:paraId="2DA65DAE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67" w:type="dxa"/>
            <w:shd w:val="clear" w:color="auto" w:fill="auto"/>
            <w:vAlign w:val="center"/>
          </w:tcPr>
          <w:p w14:paraId="62649DEC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300" w:type="dxa"/>
            <w:vAlign w:val="center"/>
          </w:tcPr>
          <w:p w14:paraId="490B4C0A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掌握珠宝营销过程中所必备的英语口语与书面表达</w:t>
            </w:r>
          </w:p>
        </w:tc>
      </w:tr>
      <w:tr w14:paraId="3C3D8DA7">
        <w:trPr>
          <w:trHeight w:val="340" w:hRule="atLeast"/>
          <w:jc w:val="center"/>
        </w:trPr>
        <w:tc>
          <w:tcPr>
            <w:tcW w:w="1209" w:type="dxa"/>
            <w:vMerge w:val="continue"/>
            <w:vAlign w:val="center"/>
          </w:tcPr>
          <w:p w14:paraId="7319108F">
            <w:pPr>
              <w:pStyle w:val="14"/>
              <w:rPr>
                <w:rFonts w:ascii="宋体" w:hAnsi="宋体"/>
              </w:rPr>
            </w:pPr>
          </w:p>
        </w:tc>
        <w:tc>
          <w:tcPr>
            <w:tcW w:w="767" w:type="dxa"/>
            <w:shd w:val="clear" w:color="auto" w:fill="auto"/>
            <w:vAlign w:val="center"/>
          </w:tcPr>
          <w:p w14:paraId="239D457F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300" w:type="dxa"/>
            <w:vAlign w:val="center"/>
          </w:tcPr>
          <w:p w14:paraId="637FE33D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以小组为单位完成课题项目</w:t>
            </w:r>
          </w:p>
        </w:tc>
      </w:tr>
      <w:tr w14:paraId="55994239">
        <w:trPr>
          <w:trHeight w:val="340" w:hRule="atLeast"/>
          <w:jc w:val="center"/>
        </w:trPr>
        <w:tc>
          <w:tcPr>
            <w:tcW w:w="1209" w:type="dxa"/>
            <w:vAlign w:val="center"/>
          </w:tcPr>
          <w:p w14:paraId="20700820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素养目标</w:t>
            </w:r>
          </w:p>
          <w:p w14:paraId="04F47FE8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(含课程思政目标</w:t>
            </w:r>
            <w:r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67" w:type="dxa"/>
            <w:shd w:val="clear" w:color="auto" w:fill="auto"/>
            <w:vAlign w:val="center"/>
          </w:tcPr>
          <w:p w14:paraId="32DB9750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4</w:t>
            </w:r>
          </w:p>
        </w:tc>
        <w:tc>
          <w:tcPr>
            <w:tcW w:w="6300" w:type="dxa"/>
            <w:vAlign w:val="center"/>
          </w:tcPr>
          <w:p w14:paraId="2D489C19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运用批判的思维分析国内珠宝行业现状</w:t>
            </w:r>
          </w:p>
        </w:tc>
      </w:tr>
    </w:tbl>
    <w:p w14:paraId="2F2B14C0">
      <w:pPr>
        <w:pStyle w:val="17"/>
        <w:spacing w:before="163" w:beforeLines="50" w:after="163"/>
      </w:pPr>
      <w:r>
        <w:rPr>
          <w:rFonts w:hint="eastAsia"/>
        </w:rPr>
        <w:t>（二）课程支撑的毕业要求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6"/>
      </w:tblGrid>
      <w:tr w14:paraId="693E98EB">
        <w:tc>
          <w:tcPr>
            <w:tcW w:w="8276" w:type="dxa"/>
          </w:tcPr>
          <w:p w14:paraId="22C7CE03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b/>
              </w:rPr>
              <w:t>LO1品德修养</w:t>
            </w:r>
            <w:r>
              <w:rPr>
                <w:bCs/>
              </w:rPr>
              <w:t>：拥护</w:t>
            </w:r>
            <w:r>
              <w:rPr>
                <w:rFonts w:hint="eastAsia"/>
                <w:bCs/>
              </w:rPr>
              <w:t>中国共产</w:t>
            </w:r>
            <w:r>
              <w:rPr>
                <w:bCs/>
              </w:rPr>
              <w:t>党的领导，坚定理想信念，自觉涵养和积极弘扬社会主义核心价值观，增强政治认同、厚植家国情怀、遵守法律法规、传承雷锋精神，践行</w:t>
            </w:r>
            <w:r>
              <w:rPr>
                <w:rFonts w:hint="eastAsia"/>
                <w:bCs/>
              </w:rPr>
              <w:t>“感恩、回报、爱心、责任”</w:t>
            </w:r>
            <w:r>
              <w:rPr>
                <w:bCs/>
              </w:rPr>
              <w:t>八字校训，积极服务他人、服务社会、诚信尽责、爱岗敬业。</w:t>
            </w:r>
          </w:p>
          <w:p w14:paraId="66370EC5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  <w:bCs/>
              </w:rPr>
              <w:t>⑤</w:t>
            </w:r>
            <w:r>
              <w:rPr>
                <w:bCs/>
              </w:rPr>
              <w:t>爱岗敬业，热爱所学专业，勤学多练，锤炼技能。熟悉本专业相关的法律法规，在实习实践中自觉遵守职业规范，具备职业道德操守。</w:t>
            </w:r>
          </w:p>
        </w:tc>
      </w:tr>
      <w:tr w14:paraId="702346BD">
        <w:tc>
          <w:tcPr>
            <w:tcW w:w="8276" w:type="dxa"/>
          </w:tcPr>
          <w:p w14:paraId="217D6B28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b/>
              </w:rPr>
              <w:t>LO3表达沟通</w:t>
            </w:r>
            <w:r>
              <w:rPr>
                <w:bCs/>
              </w:rPr>
              <w:t>：理解他人的观点，尊重他人的价值观，能在不同场合用书面或口头形式进行有效沟通。</w:t>
            </w:r>
          </w:p>
          <w:p w14:paraId="638493B4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②</w:t>
            </w:r>
            <w:r>
              <w:rPr>
                <w:bCs/>
              </w:rPr>
              <w:t>应用书面或口头形式，阐释自己的观点，有效沟通。</w:t>
            </w:r>
          </w:p>
        </w:tc>
      </w:tr>
      <w:tr w14:paraId="07977E62">
        <w:trPr>
          <w:trHeight w:val="772" w:hRule="atLeast"/>
        </w:trPr>
        <w:tc>
          <w:tcPr>
            <w:tcW w:w="8276" w:type="dxa"/>
          </w:tcPr>
          <w:p w14:paraId="145DC583">
            <w:pPr>
              <w:widowControl w:val="0"/>
              <w:tabs>
                <w:tab w:val="left" w:pos="4200"/>
              </w:tabs>
              <w:spacing w:line="440" w:lineRule="exact"/>
              <w:jc w:val="both"/>
              <w:rPr>
                <w:bCs/>
                <w:sz w:val="21"/>
                <w:szCs w:val="21"/>
              </w:rPr>
            </w:pPr>
            <w:r>
              <w:rPr>
                <w:b/>
              </w:rPr>
              <w:t>LO3</w:t>
            </w:r>
            <w:r>
              <w:rPr>
                <w:b/>
                <w:sz w:val="21"/>
                <w:szCs w:val="21"/>
              </w:rPr>
              <w:t>国际视野</w:t>
            </w:r>
            <w:r>
              <w:rPr>
                <w:bCs/>
                <w:sz w:val="21"/>
                <w:szCs w:val="21"/>
              </w:rPr>
              <w:t>：具有基本的外语表达沟通能力与跨文化理解能力，有国际竞争与合作的意识。</w:t>
            </w:r>
          </w:p>
          <w:p w14:paraId="6C6EE803">
            <w:pPr>
              <w:widowControl w:val="0"/>
              <w:tabs>
                <w:tab w:val="left" w:pos="4200"/>
              </w:tabs>
              <w:spacing w:line="440" w:lineRule="exact"/>
              <w:jc w:val="both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①</w:t>
            </w:r>
            <w:r>
              <w:rPr>
                <w:bCs/>
                <w:sz w:val="21"/>
                <w:szCs w:val="21"/>
              </w:rPr>
              <w:t>具备外语表达沟通能力，达到本专业的要求。</w:t>
            </w:r>
          </w:p>
          <w:p w14:paraId="75C7A87B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  <w:bCs/>
              </w:rPr>
              <w:t>③</w:t>
            </w:r>
            <w:r>
              <w:rPr>
                <w:bCs/>
              </w:rPr>
              <w:t>有国际竞争与合作意识。</w:t>
            </w:r>
          </w:p>
        </w:tc>
      </w:tr>
    </w:tbl>
    <w:p w14:paraId="59D82747">
      <w:pPr>
        <w:pStyle w:val="17"/>
        <w:spacing w:before="163" w:beforeLines="50" w:after="163"/>
      </w:pPr>
      <w:r>
        <w:rPr>
          <w:rFonts w:hint="eastAsia"/>
        </w:rPr>
        <w:t xml:space="preserve">（三）毕业要求与课程目标的关系 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77"/>
        <w:gridCol w:w="794"/>
        <w:gridCol w:w="794"/>
        <w:gridCol w:w="4763"/>
        <w:gridCol w:w="1348"/>
      </w:tblGrid>
      <w:tr w14:paraId="50C4275D">
        <w:trPr>
          <w:trHeight w:val="391" w:hRule="atLeast"/>
          <w:jc w:val="center"/>
        </w:trPr>
        <w:tc>
          <w:tcPr>
            <w:tcW w:w="759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5467B90A">
            <w:pPr>
              <w:pStyle w:val="13"/>
              <w:rPr>
                <w:szCs w:val="16"/>
              </w:rPr>
            </w:pPr>
            <w:r>
              <w:rPr>
                <w:rFonts w:hint="eastAsia" w:ascii="黑体" w:hAnsi="黑体"/>
                <w:szCs w:val="18"/>
              </w:rPr>
              <w:t>毕业要求</w:t>
            </w:r>
          </w:p>
        </w:tc>
        <w:tc>
          <w:tcPr>
            <w:tcW w:w="775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 w14:paraId="2A32A434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775" w:type="dxa"/>
            <w:tcBorders>
              <w:top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 w14:paraId="73D2241F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4651" w:type="dxa"/>
            <w:tcBorders>
              <w:top w:val="single" w:color="auto" w:sz="12" w:space="0"/>
            </w:tcBorders>
            <w:vAlign w:val="center"/>
          </w:tcPr>
          <w:p w14:paraId="5FC0B32B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</w:tc>
        <w:tc>
          <w:tcPr>
            <w:tcW w:w="1316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7EA666D6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 w14:paraId="037B9BFD">
        <w:trPr>
          <w:trHeight w:val="392" w:hRule="atLeast"/>
          <w:jc w:val="center"/>
        </w:trPr>
        <w:tc>
          <w:tcPr>
            <w:tcW w:w="759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1026EBF0">
            <w:pPr>
              <w:pStyle w:val="14"/>
            </w:pPr>
            <w:r>
              <w:rPr>
                <w:b/>
              </w:rPr>
              <w:t>LO1</w:t>
            </w:r>
          </w:p>
        </w:tc>
        <w:tc>
          <w:tcPr>
            <w:tcW w:w="775" w:type="dxa"/>
            <w:tcBorders>
              <w:left w:val="single" w:color="auto" w:sz="4" w:space="0"/>
            </w:tcBorders>
            <w:vAlign w:val="center"/>
          </w:tcPr>
          <w:p w14:paraId="4035FECD">
            <w:pPr>
              <w:pStyle w:val="14"/>
              <w:rPr>
                <w:rFonts w:cs="Times New Roman"/>
                <w:bCs/>
              </w:rPr>
            </w:pPr>
            <w:r>
              <w:rPr>
                <w:rFonts w:hint="eastAsia"/>
                <w:bCs/>
              </w:rPr>
              <w:t>⑤</w:t>
            </w:r>
          </w:p>
        </w:tc>
        <w:tc>
          <w:tcPr>
            <w:tcW w:w="775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727CC32E">
            <w:pPr>
              <w:pStyle w:val="14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M</w:t>
            </w:r>
          </w:p>
        </w:tc>
        <w:tc>
          <w:tcPr>
            <w:tcW w:w="4651" w:type="dxa"/>
            <w:vAlign w:val="center"/>
          </w:tcPr>
          <w:p w14:paraId="3758AB35">
            <w:pPr>
              <w:pStyle w:val="14"/>
              <w:jc w:val="left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Cs/>
              </w:rPr>
              <w:t>4、运用批判的思维分析国内珠宝行业现状</w:t>
            </w:r>
          </w:p>
        </w:tc>
        <w:tc>
          <w:tcPr>
            <w:tcW w:w="1316" w:type="dxa"/>
            <w:tcBorders>
              <w:right w:val="single" w:color="auto" w:sz="12" w:space="0"/>
            </w:tcBorders>
            <w:vAlign w:val="center"/>
          </w:tcPr>
          <w:p w14:paraId="5FACCE85">
            <w:pPr>
              <w:pStyle w:val="14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1</w:t>
            </w:r>
            <w:r>
              <w:rPr>
                <w:rFonts w:ascii="宋体" w:hAnsi="宋体"/>
                <w:b/>
              </w:rPr>
              <w:t>00</w:t>
            </w:r>
          </w:p>
        </w:tc>
      </w:tr>
      <w:tr w14:paraId="6F7BEC80">
        <w:trPr>
          <w:trHeight w:val="300" w:hRule="atLeast"/>
          <w:jc w:val="center"/>
        </w:trPr>
        <w:tc>
          <w:tcPr>
            <w:tcW w:w="759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441BE7EB">
            <w:pPr>
              <w:pStyle w:val="14"/>
            </w:pPr>
            <w:r>
              <w:rPr>
                <w:b/>
              </w:rPr>
              <w:t>LO3</w:t>
            </w:r>
          </w:p>
        </w:tc>
        <w:tc>
          <w:tcPr>
            <w:tcW w:w="775" w:type="dxa"/>
            <w:tcBorders>
              <w:left w:val="single" w:color="auto" w:sz="4" w:space="0"/>
            </w:tcBorders>
            <w:vAlign w:val="center"/>
          </w:tcPr>
          <w:p w14:paraId="7D9CF371">
            <w:pPr>
              <w:pStyle w:val="14"/>
              <w:rPr>
                <w:rFonts w:cs="Times New Roman"/>
                <w:bCs/>
              </w:rPr>
            </w:pPr>
            <w:r>
              <w:rPr>
                <w:rFonts w:hint="eastAsia"/>
                <w:bCs/>
              </w:rPr>
              <w:t>②</w:t>
            </w:r>
          </w:p>
        </w:tc>
        <w:tc>
          <w:tcPr>
            <w:tcW w:w="775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0934246D">
            <w:pPr>
              <w:pStyle w:val="14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M</w:t>
            </w:r>
          </w:p>
        </w:tc>
        <w:tc>
          <w:tcPr>
            <w:tcW w:w="4651" w:type="dxa"/>
            <w:vAlign w:val="center"/>
          </w:tcPr>
          <w:p w14:paraId="30660C24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2、掌握珠宝营销过程中所必备的英语口语与书面表达</w:t>
            </w:r>
          </w:p>
        </w:tc>
        <w:tc>
          <w:tcPr>
            <w:tcW w:w="1316" w:type="dxa"/>
            <w:tcBorders>
              <w:right w:val="single" w:color="auto" w:sz="12" w:space="0"/>
            </w:tcBorders>
            <w:vAlign w:val="center"/>
          </w:tcPr>
          <w:p w14:paraId="55EC90CD"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</w:t>
            </w:r>
            <w:r>
              <w:rPr>
                <w:rFonts w:ascii="宋体" w:hAnsi="宋体"/>
                <w:bCs/>
              </w:rPr>
              <w:t>00</w:t>
            </w:r>
          </w:p>
        </w:tc>
      </w:tr>
      <w:tr w14:paraId="4CCF4FD2">
        <w:trPr>
          <w:trHeight w:val="340" w:hRule="atLeast"/>
          <w:jc w:val="center"/>
        </w:trPr>
        <w:tc>
          <w:tcPr>
            <w:tcW w:w="759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3CB8D339">
            <w:pPr>
              <w:pStyle w:val="14"/>
            </w:pPr>
            <w:r>
              <w:rPr>
                <w:b/>
              </w:rPr>
              <w:t>LO8</w:t>
            </w:r>
          </w:p>
        </w:tc>
        <w:tc>
          <w:tcPr>
            <w:tcW w:w="775" w:type="dxa"/>
            <w:tcBorders>
              <w:left w:val="single" w:color="auto" w:sz="4" w:space="0"/>
            </w:tcBorders>
            <w:vAlign w:val="center"/>
          </w:tcPr>
          <w:p w14:paraId="198BF4C5">
            <w:pPr>
              <w:pStyle w:val="14"/>
              <w:rPr>
                <w:rFonts w:cs="Times New Roman"/>
                <w:bCs/>
              </w:rPr>
            </w:pPr>
            <w:r>
              <w:rPr>
                <w:rFonts w:hint="eastAsia"/>
                <w:bCs/>
              </w:rPr>
              <w:t>①</w:t>
            </w:r>
          </w:p>
        </w:tc>
        <w:tc>
          <w:tcPr>
            <w:tcW w:w="775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2939F2D9">
            <w:pPr>
              <w:pStyle w:val="14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H</w:t>
            </w:r>
          </w:p>
        </w:tc>
        <w:tc>
          <w:tcPr>
            <w:tcW w:w="4651" w:type="dxa"/>
            <w:vAlign w:val="center"/>
          </w:tcPr>
          <w:p w14:paraId="2F263B09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1、了解宝石、珠宝加工、珠宝营销、建立等英语表达</w:t>
            </w:r>
          </w:p>
        </w:tc>
        <w:tc>
          <w:tcPr>
            <w:tcW w:w="1316" w:type="dxa"/>
            <w:tcBorders>
              <w:right w:val="single" w:color="auto" w:sz="12" w:space="0"/>
            </w:tcBorders>
            <w:vAlign w:val="center"/>
          </w:tcPr>
          <w:p w14:paraId="68B397B1"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</w:t>
            </w:r>
            <w:r>
              <w:rPr>
                <w:rFonts w:ascii="宋体" w:hAnsi="宋体"/>
                <w:bCs/>
              </w:rPr>
              <w:t>00</w:t>
            </w:r>
          </w:p>
        </w:tc>
      </w:tr>
      <w:tr w14:paraId="6C5917C3">
        <w:trPr>
          <w:trHeight w:val="340" w:hRule="atLeast"/>
          <w:jc w:val="center"/>
        </w:trPr>
        <w:tc>
          <w:tcPr>
            <w:tcW w:w="759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</w:tcPr>
          <w:p w14:paraId="3D0D559C">
            <w:pPr>
              <w:pStyle w:val="14"/>
              <w:rPr>
                <w:b/>
              </w:rPr>
            </w:pPr>
          </w:p>
        </w:tc>
        <w:tc>
          <w:tcPr>
            <w:tcW w:w="775" w:type="dxa"/>
            <w:tcBorders>
              <w:left w:val="single" w:color="auto" w:sz="4" w:space="0"/>
              <w:bottom w:val="single" w:color="auto" w:sz="12" w:space="0"/>
            </w:tcBorders>
            <w:vAlign w:val="center"/>
          </w:tcPr>
          <w:p w14:paraId="439A1332">
            <w:pPr>
              <w:pStyle w:val="14"/>
              <w:rPr>
                <w:rFonts w:cs="Times New Roman"/>
                <w:bCs/>
              </w:rPr>
            </w:pPr>
            <w:r>
              <w:rPr>
                <w:rFonts w:hint="eastAsia"/>
                <w:bCs/>
              </w:rPr>
              <w:t>③</w:t>
            </w:r>
          </w:p>
        </w:tc>
        <w:tc>
          <w:tcPr>
            <w:tcW w:w="775" w:type="dxa"/>
            <w:tcBorders>
              <w:bottom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 w14:paraId="08DF309F">
            <w:pPr>
              <w:pStyle w:val="14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H</w:t>
            </w:r>
          </w:p>
        </w:tc>
        <w:tc>
          <w:tcPr>
            <w:tcW w:w="4651" w:type="dxa"/>
            <w:tcBorders>
              <w:bottom w:val="single" w:color="auto" w:sz="12" w:space="0"/>
            </w:tcBorders>
            <w:vAlign w:val="center"/>
          </w:tcPr>
          <w:p w14:paraId="7558F3DD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3、以小组为单位完成课题项目</w:t>
            </w:r>
          </w:p>
        </w:tc>
        <w:tc>
          <w:tcPr>
            <w:tcW w:w="1316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709056A6"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</w:t>
            </w:r>
            <w:r>
              <w:rPr>
                <w:rFonts w:ascii="宋体" w:hAnsi="宋体"/>
                <w:bCs/>
              </w:rPr>
              <w:t>00</w:t>
            </w:r>
          </w:p>
        </w:tc>
      </w:tr>
    </w:tbl>
    <w:p w14:paraId="4836020E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三、</w:t>
      </w:r>
      <w:r>
        <w:rPr>
          <w:rFonts w:ascii="黑体" w:hAnsi="宋体"/>
        </w:rPr>
        <w:t>课程内容</w:t>
      </w:r>
      <w:r>
        <w:rPr>
          <w:rFonts w:hint="eastAsia" w:ascii="黑体" w:hAnsi="宋体"/>
        </w:rPr>
        <w:t>与教学设计</w:t>
      </w:r>
    </w:p>
    <w:p w14:paraId="5AF9B9F6">
      <w:pPr>
        <w:pStyle w:val="17"/>
        <w:spacing w:before="81" w:after="163"/>
      </w:pPr>
      <w:r>
        <w:rPr>
          <w:rFonts w:hint="eastAsia"/>
        </w:rPr>
        <w:t>（一）各教学单元预期学习成果与教学内容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6"/>
      </w:tblGrid>
      <w:tr w14:paraId="335A9996">
        <w:tc>
          <w:tcPr>
            <w:tcW w:w="8276" w:type="dxa"/>
          </w:tcPr>
          <w:p w14:paraId="08B8A4EA">
            <w:pPr>
              <w:widowControl w:val="0"/>
              <w:jc w:val="both"/>
              <w:rPr>
                <w:color w:val="000000"/>
                <w:sz w:val="21"/>
                <w:szCs w:val="21"/>
              </w:rPr>
            </w:pPr>
            <w:bookmarkStart w:id="0" w:name="OLE_LINK5"/>
            <w:bookmarkStart w:id="1" w:name="OLE_LINK6"/>
            <w:r>
              <w:rPr>
                <w:rFonts w:hint="eastAsia"/>
                <w:color w:val="000000"/>
                <w:sz w:val="21"/>
                <w:szCs w:val="21"/>
              </w:rPr>
              <w:t>第一单元：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珠宝首饰</w:t>
            </w:r>
            <w:r>
              <w:rPr>
                <w:rFonts w:hint="eastAsia"/>
                <w:color w:val="000000"/>
                <w:sz w:val="21"/>
                <w:szCs w:val="21"/>
              </w:rPr>
              <w:t>英语基础（理论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16</w:t>
            </w:r>
            <w:r>
              <w:rPr>
                <w:color w:val="000000"/>
                <w:sz w:val="21"/>
                <w:szCs w:val="21"/>
              </w:rPr>
              <w:t>课时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实践4课时</w:t>
            </w:r>
            <w:r>
              <w:rPr>
                <w:color w:val="000000"/>
                <w:sz w:val="21"/>
                <w:szCs w:val="21"/>
              </w:rPr>
              <w:t xml:space="preserve">） </w:t>
            </w:r>
          </w:p>
          <w:p w14:paraId="28B63EC2">
            <w:pPr>
              <w:widowControl w:val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知识点：</w:t>
            </w:r>
          </w:p>
          <w:p w14:paraId="2E9B4E25">
            <w:pPr>
              <w:widowControl w:val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1、各类宝石英语（包括钻石、红蓝宝、祖母绿、水晶、珍珠、翡翠等英语名称及宝石学性质）</w:t>
            </w:r>
          </w:p>
          <w:p w14:paraId="1711B092">
            <w:pPr>
              <w:widowControl w:val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2、宝石的光学性质、力学性质的英语表达</w:t>
            </w:r>
          </w:p>
          <w:p w14:paraId="1CAF7D53">
            <w:pPr>
              <w:widowControl w:val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3、首饰设计的基本英语</w:t>
            </w:r>
          </w:p>
          <w:p w14:paraId="13679A0B">
            <w:pPr>
              <w:widowControl w:val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4、宝石加工的英语</w:t>
            </w:r>
          </w:p>
          <w:p w14:paraId="088D5704">
            <w:pPr>
              <w:widowControl w:val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5、首饰制作的工艺及工具的英语</w:t>
            </w:r>
          </w:p>
          <w:p w14:paraId="314FDEB7">
            <w:pPr>
              <w:widowControl w:val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6、优化处理、合成宝石英语</w:t>
            </w:r>
          </w:p>
          <w:p w14:paraId="35E28600">
            <w:pPr>
              <w:widowControl w:val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能力要求：</w:t>
            </w:r>
          </w:p>
          <w:p w14:paraId="601FD70A">
            <w:pPr>
              <w:widowControl w:val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  <w:r>
              <w:rPr>
                <w:rFonts w:hint="eastAsia"/>
                <w:color w:val="000000"/>
                <w:sz w:val="21"/>
                <w:szCs w:val="21"/>
              </w:rPr>
              <w:t>、能够掌握不同宝石种类的英文名称</w:t>
            </w:r>
          </w:p>
          <w:p w14:paraId="40897C31">
            <w:pPr>
              <w:widowControl w:val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2、能够理解天然与合成宝石的区别并用英语表达</w:t>
            </w:r>
          </w:p>
          <w:p w14:paraId="756E2A4E">
            <w:pPr>
              <w:widowControl w:val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3、能够掌握宝石不同光学、力学性质的英语表达</w:t>
            </w:r>
          </w:p>
          <w:p w14:paraId="1E59EF9E">
            <w:pPr>
              <w:widowControl w:val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4、能够掌握宝石加工、制作相关英语表达</w:t>
            </w:r>
          </w:p>
          <w:p w14:paraId="7B4A4ED8">
            <w:pPr>
              <w:widowControl w:val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5、能够说出不同首饰制作工具的英文名称</w:t>
            </w:r>
          </w:p>
          <w:p w14:paraId="6CBFBB7D">
            <w:pPr>
              <w:widowControl w:val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6、能够理解各种镶嵌方法（爪镶、钉镶、槽镶等）英文表达</w:t>
            </w:r>
          </w:p>
          <w:p w14:paraId="1288908A">
            <w:pPr>
              <w:widowControl w:val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7、能够用英语阐述首饰作品的组成材料及首饰作品的含义</w:t>
            </w:r>
          </w:p>
          <w:p w14:paraId="1C1DC7CA">
            <w:pPr>
              <w:widowControl w:val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8、能够用英语对珠宝相关文献语句翻译</w:t>
            </w:r>
          </w:p>
          <w:p w14:paraId="3D865910">
            <w:pPr>
              <w:widowControl w:val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难点：用英语对相关文献语句进行翻译</w:t>
            </w:r>
          </w:p>
          <w:p w14:paraId="66139BFE">
            <w:pPr>
              <w:widowControl w:val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   宝石相关英语词汇的口语运用</w:t>
            </w:r>
          </w:p>
          <w:p w14:paraId="7DAB6550">
            <w:pPr>
              <w:pStyle w:val="14"/>
              <w:widowControl w:val="0"/>
              <w:jc w:val="left"/>
              <w:rPr>
                <w:rFonts w:ascii="仿宋" w:hAnsi="仿宋" w:eastAsia="仿宋" w:cs="仿宋"/>
              </w:rPr>
            </w:pPr>
          </w:p>
        </w:tc>
      </w:tr>
      <w:tr w14:paraId="62F0506E">
        <w:tc>
          <w:tcPr>
            <w:tcW w:w="8276" w:type="dxa"/>
          </w:tcPr>
          <w:p w14:paraId="3667A0A5">
            <w:pPr>
              <w:widowControl w:val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第二单元：珠宝商品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销售</w:t>
            </w:r>
            <w:r>
              <w:rPr>
                <w:rFonts w:hint="eastAsia"/>
                <w:color w:val="000000"/>
                <w:sz w:val="21"/>
                <w:szCs w:val="21"/>
              </w:rPr>
              <w:t>英语（理论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color w:val="000000"/>
                <w:sz w:val="21"/>
                <w:szCs w:val="21"/>
              </w:rPr>
              <w:t>课时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实践2课时</w:t>
            </w:r>
            <w:r>
              <w:rPr>
                <w:color w:val="000000"/>
                <w:sz w:val="21"/>
                <w:szCs w:val="21"/>
              </w:rPr>
              <w:t xml:space="preserve">）      </w:t>
            </w:r>
          </w:p>
          <w:p w14:paraId="6A3A5F68">
            <w:pPr>
              <w:widowControl w:val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知识点：</w:t>
            </w:r>
          </w:p>
          <w:p w14:paraId="408AAAF0">
            <w:pPr>
              <w:widowControl w:val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1、商业接待英语</w:t>
            </w:r>
          </w:p>
          <w:p w14:paraId="22CCA097">
            <w:pPr>
              <w:widowControl w:val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2、宝石展示与推荐的英语表达</w:t>
            </w:r>
          </w:p>
          <w:p w14:paraId="1F398DCF">
            <w:pPr>
              <w:widowControl w:val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3、商业赞赏与承诺英语表达</w:t>
            </w:r>
          </w:p>
          <w:p w14:paraId="7E020694">
            <w:pPr>
              <w:widowControl w:val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4、产品说明英语表达</w:t>
            </w:r>
          </w:p>
          <w:p w14:paraId="2EC34770">
            <w:pPr>
              <w:widowControl w:val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5、商业婉拒与道歉的英语表达</w:t>
            </w:r>
          </w:p>
          <w:p w14:paraId="14986E47">
            <w:pPr>
              <w:widowControl w:val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6、付款与售后服务的英语表达</w:t>
            </w:r>
          </w:p>
          <w:p w14:paraId="36CB646C">
            <w:pPr>
              <w:widowControl w:val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能力要求：能够掌握商业接待相关英语</w:t>
            </w:r>
          </w:p>
          <w:p w14:paraId="33D859C7">
            <w:pPr>
              <w:widowControl w:val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       能够用英语进行宝石展示及产品说明</w:t>
            </w:r>
          </w:p>
          <w:p w14:paraId="0DF8F945">
            <w:pPr>
              <w:widowControl w:val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       能够用英语进行婉拒与承诺</w:t>
            </w:r>
          </w:p>
          <w:p w14:paraId="237F749B">
            <w:pPr>
              <w:widowControl w:val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       能够用英语完成付款流程及售后服务</w:t>
            </w:r>
          </w:p>
          <w:p w14:paraId="6BA91C0C">
            <w:pPr>
              <w:widowControl w:val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难点：运用英语进行商务交流，根据不同突发情况作出正确英语回应</w:t>
            </w:r>
          </w:p>
          <w:p w14:paraId="51A5EBF9">
            <w:pPr>
              <w:widowControl w:val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运用英语准确进行产品说明及展示</w:t>
            </w:r>
          </w:p>
          <w:p w14:paraId="60777C81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</w:p>
        </w:tc>
      </w:tr>
      <w:tr w14:paraId="0189DBEC">
        <w:tc>
          <w:tcPr>
            <w:tcW w:w="8276" w:type="dxa"/>
          </w:tcPr>
          <w:p w14:paraId="0E240775">
            <w:pPr>
              <w:widowControl w:val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第三单元：珠宝贸易谈判英语（理论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color w:val="000000"/>
                <w:sz w:val="21"/>
                <w:szCs w:val="21"/>
              </w:rPr>
              <w:t>课时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实践2课时</w:t>
            </w:r>
            <w:r>
              <w:rPr>
                <w:color w:val="000000"/>
                <w:sz w:val="21"/>
                <w:szCs w:val="21"/>
              </w:rPr>
              <w:t xml:space="preserve">）  </w:t>
            </w:r>
          </w:p>
          <w:p w14:paraId="6F68CC41">
            <w:pPr>
              <w:widowControl w:val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知识点：</w:t>
            </w:r>
          </w:p>
          <w:p w14:paraId="173EDAB0">
            <w:pPr>
              <w:widowControl w:val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1、贸易接待英语</w:t>
            </w:r>
          </w:p>
          <w:p w14:paraId="61585AD7">
            <w:pPr>
              <w:widowControl w:val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2、拜访客户英语</w:t>
            </w:r>
          </w:p>
          <w:p w14:paraId="15A1E032">
            <w:pPr>
              <w:widowControl w:val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3、询价和报价英语</w:t>
            </w:r>
          </w:p>
          <w:p w14:paraId="7E229BD4">
            <w:pPr>
              <w:widowControl w:val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4、订货与交付英语</w:t>
            </w:r>
          </w:p>
          <w:p w14:paraId="10C100AA">
            <w:pPr>
              <w:widowControl w:val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5、付款与索赔英语</w:t>
            </w:r>
          </w:p>
          <w:p w14:paraId="57433BEB">
            <w:pPr>
              <w:widowControl w:val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6、展览英语</w:t>
            </w:r>
          </w:p>
          <w:p w14:paraId="495E8F1F">
            <w:pPr>
              <w:widowControl w:val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能力要求：能够掌握贸易接待及客户拜访的英语表达</w:t>
            </w:r>
          </w:p>
          <w:p w14:paraId="4BA56F8E">
            <w:pPr>
              <w:widowControl w:val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       能够掌握询价报价及订货交付的英语表达</w:t>
            </w:r>
          </w:p>
          <w:p w14:paraId="24B56584">
            <w:pPr>
              <w:widowControl w:val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       能够掌握展览的英语表达</w:t>
            </w:r>
          </w:p>
          <w:p w14:paraId="5E044501">
            <w:pPr>
              <w:widowControl w:val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能够运用贸易接待相关英语</w:t>
            </w:r>
          </w:p>
          <w:p w14:paraId="1BD97C7F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</w:rPr>
              <w:t>难点：综合运用贸易接待相关英语进行模拟买卖及谈判情景练习</w:t>
            </w:r>
          </w:p>
        </w:tc>
      </w:tr>
      <w:tr w14:paraId="6200BC1E">
        <w:tc>
          <w:tcPr>
            <w:tcW w:w="8276" w:type="dxa"/>
          </w:tcPr>
          <w:p w14:paraId="2E0DEDD5">
            <w:pPr>
              <w:widowControl w:val="0"/>
              <w:jc w:val="both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第四章：面试英语（</w:t>
            </w:r>
            <w:r>
              <w:rPr>
                <w:rFonts w:hint="eastAsia"/>
                <w:bCs/>
                <w:color w:val="000000"/>
                <w:sz w:val="21"/>
                <w:szCs w:val="21"/>
                <w:lang w:val="en-US" w:eastAsia="zh-CN"/>
              </w:rPr>
              <w:t>理论2</w:t>
            </w:r>
            <w:r>
              <w:rPr>
                <w:bCs/>
                <w:color w:val="000000"/>
                <w:sz w:val="21"/>
                <w:szCs w:val="21"/>
              </w:rPr>
              <w:t>课时</w:t>
            </w:r>
            <w:r>
              <w:rPr>
                <w:rFonts w:hint="eastAsia"/>
                <w:bCs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bCs/>
                <w:color w:val="000000"/>
                <w:sz w:val="21"/>
                <w:szCs w:val="21"/>
                <w:lang w:val="en-US" w:eastAsia="zh-CN"/>
              </w:rPr>
              <w:t>实践2课时</w:t>
            </w:r>
            <w:r>
              <w:rPr>
                <w:bCs/>
                <w:color w:val="000000"/>
                <w:sz w:val="21"/>
                <w:szCs w:val="21"/>
              </w:rPr>
              <w:t xml:space="preserve">）                                    </w:t>
            </w:r>
          </w:p>
          <w:p w14:paraId="6769DE24">
            <w:pPr>
              <w:widowControl w:val="0"/>
              <w:jc w:val="both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1、面试常用的术语及其表达</w:t>
            </w:r>
          </w:p>
          <w:p w14:paraId="637BFC25">
            <w:pPr>
              <w:widowControl w:val="0"/>
              <w:jc w:val="both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2、面试的技巧及常见的面试内容</w:t>
            </w:r>
          </w:p>
          <w:p w14:paraId="55B6027D">
            <w:pPr>
              <w:widowControl w:val="0"/>
              <w:jc w:val="both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3、不同场合面试的知识准备和语言准备</w:t>
            </w:r>
          </w:p>
          <w:p w14:paraId="428A6B0C">
            <w:pPr>
              <w:widowControl w:val="0"/>
              <w:snapToGrid w:val="0"/>
              <w:spacing w:line="288" w:lineRule="auto"/>
              <w:jc w:val="both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知识与能力要求：</w:t>
            </w:r>
          </w:p>
          <w:p w14:paraId="53398BF1">
            <w:pPr>
              <w:widowControl w:val="0"/>
              <w:snapToGrid w:val="0"/>
              <w:spacing w:line="288" w:lineRule="auto"/>
              <w:jc w:val="both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能够了解面试的常用表达方式</w:t>
            </w:r>
          </w:p>
          <w:p w14:paraId="61BA7B8F">
            <w:pPr>
              <w:widowControl w:val="0"/>
              <w:snapToGrid w:val="0"/>
              <w:spacing w:line="288" w:lineRule="auto"/>
              <w:jc w:val="both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能够运用简洁的语言介绍自己</w:t>
            </w:r>
          </w:p>
          <w:p w14:paraId="4A230314">
            <w:pPr>
              <w:widowControl w:val="0"/>
              <w:snapToGrid w:val="0"/>
              <w:spacing w:line="288" w:lineRule="auto"/>
              <w:jc w:val="both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能够了解在面试中如何减缓压力</w:t>
            </w:r>
          </w:p>
          <w:p w14:paraId="3C39DFD9">
            <w:pPr>
              <w:widowControl w:val="0"/>
              <w:snapToGrid w:val="0"/>
              <w:spacing w:line="288" w:lineRule="auto"/>
              <w:jc w:val="both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能够理解并运用面试技巧</w:t>
            </w:r>
          </w:p>
          <w:p w14:paraId="170B3ECD">
            <w:pPr>
              <w:widowControl w:val="0"/>
              <w:snapToGrid w:val="0"/>
              <w:spacing w:line="288" w:lineRule="auto"/>
              <w:jc w:val="both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能够综合表现自己的专业素养</w:t>
            </w:r>
          </w:p>
          <w:p w14:paraId="25750821">
            <w:pPr>
              <w:widowControl w:val="0"/>
              <w:snapToGrid w:val="0"/>
              <w:spacing w:line="288" w:lineRule="auto"/>
              <w:jc w:val="both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难点：</w:t>
            </w:r>
          </w:p>
          <w:p w14:paraId="15C5A2AC">
            <w:pPr>
              <w:widowControl w:val="0"/>
              <w:snapToGrid w:val="0"/>
              <w:spacing w:line="288" w:lineRule="auto"/>
              <w:jc w:val="both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面试中自我介绍的准备</w:t>
            </w:r>
          </w:p>
          <w:p w14:paraId="59FE5B4D">
            <w:pPr>
              <w:widowControl w:val="0"/>
              <w:snapToGrid w:val="0"/>
              <w:spacing w:line="288" w:lineRule="auto"/>
              <w:jc w:val="both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简历语言的精准性，合理分配简历内容</w:t>
            </w:r>
          </w:p>
          <w:p w14:paraId="7F0E4883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</w:p>
        </w:tc>
      </w:tr>
      <w:bookmarkEnd w:id="0"/>
      <w:bookmarkEnd w:id="1"/>
    </w:tbl>
    <w:p w14:paraId="35C2DC25">
      <w:pPr>
        <w:pStyle w:val="17"/>
        <w:spacing w:before="81" w:after="163"/>
      </w:pPr>
      <w:r>
        <w:rPr>
          <w:rFonts w:hint="eastAsia"/>
        </w:rPr>
        <w:t>（二）教学单元对课程目标的支撑关系</w:t>
      </w:r>
    </w:p>
    <w:tbl>
      <w:tblPr>
        <w:tblStyle w:val="7"/>
        <w:tblW w:w="36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875"/>
        <w:gridCol w:w="1099"/>
        <w:gridCol w:w="1099"/>
        <w:gridCol w:w="1099"/>
        <w:gridCol w:w="1098"/>
      </w:tblGrid>
      <w:tr w14:paraId="473B7C9E">
        <w:trPr>
          <w:trHeight w:val="794" w:hRule="atLeast"/>
          <w:jc w:val="center"/>
        </w:trPr>
        <w:tc>
          <w:tcPr>
            <w:tcW w:w="1834" w:type="dxa"/>
            <w:tcBorders>
              <w:top w:val="single" w:color="auto" w:sz="12" w:space="0"/>
              <w:left w:val="single" w:color="auto" w:sz="12" w:space="0"/>
              <w:tl2br w:val="single" w:color="auto" w:sz="4" w:space="0"/>
            </w:tcBorders>
          </w:tcPr>
          <w:p w14:paraId="0F844A51">
            <w:pPr>
              <w:pStyle w:val="13"/>
              <w:ind w:firstLine="489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 w14:paraId="6123B4DB">
            <w:pPr>
              <w:pStyle w:val="13"/>
              <w:ind w:right="210"/>
              <w:jc w:val="left"/>
              <w:rPr>
                <w:szCs w:val="16"/>
              </w:rPr>
            </w:pPr>
          </w:p>
          <w:p w14:paraId="31DE0E93">
            <w:pPr>
              <w:pStyle w:val="13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教学单元</w:t>
            </w:r>
          </w:p>
        </w:tc>
        <w:tc>
          <w:tcPr>
            <w:tcW w:w="1074" w:type="dxa"/>
            <w:tcBorders>
              <w:top w:val="single" w:color="auto" w:sz="12" w:space="0"/>
            </w:tcBorders>
            <w:vAlign w:val="center"/>
          </w:tcPr>
          <w:p w14:paraId="2EE1EF27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1</w:t>
            </w:r>
          </w:p>
        </w:tc>
        <w:tc>
          <w:tcPr>
            <w:tcW w:w="1074" w:type="dxa"/>
            <w:tcBorders>
              <w:top w:val="single" w:color="auto" w:sz="12" w:space="0"/>
            </w:tcBorders>
            <w:vAlign w:val="center"/>
          </w:tcPr>
          <w:p w14:paraId="2CA0652A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2</w:t>
            </w:r>
          </w:p>
        </w:tc>
        <w:tc>
          <w:tcPr>
            <w:tcW w:w="1074" w:type="dxa"/>
            <w:tcBorders>
              <w:top w:val="single" w:color="auto" w:sz="12" w:space="0"/>
            </w:tcBorders>
            <w:vAlign w:val="center"/>
          </w:tcPr>
          <w:p w14:paraId="2055C65D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3</w:t>
            </w:r>
          </w:p>
        </w:tc>
        <w:tc>
          <w:tcPr>
            <w:tcW w:w="1073" w:type="dxa"/>
            <w:tcBorders>
              <w:top w:val="single" w:color="auto" w:sz="12" w:space="0"/>
            </w:tcBorders>
            <w:vAlign w:val="center"/>
          </w:tcPr>
          <w:p w14:paraId="15A7A9EA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4</w:t>
            </w:r>
          </w:p>
        </w:tc>
      </w:tr>
      <w:tr w14:paraId="6DCC0956">
        <w:trPr>
          <w:trHeight w:val="340" w:hRule="atLeast"/>
          <w:jc w:val="center"/>
        </w:trPr>
        <w:tc>
          <w:tcPr>
            <w:tcW w:w="1834" w:type="dxa"/>
            <w:tcBorders>
              <w:left w:val="single" w:color="auto" w:sz="12" w:space="0"/>
            </w:tcBorders>
          </w:tcPr>
          <w:p w14:paraId="5028A3DF">
            <w:pPr>
              <w:pStyle w:val="14"/>
            </w:pPr>
            <w:r>
              <w:rPr>
                <w:rFonts w:hAnsi="宋体"/>
              </w:rPr>
              <w:t>第一章</w:t>
            </w:r>
            <w:r>
              <w:rPr>
                <w:rFonts w:hint="eastAsia" w:hAnsi="宋体"/>
              </w:rPr>
              <w:t xml:space="preserve"> </w:t>
            </w:r>
            <w:r>
              <w:rPr>
                <w:rFonts w:hint="eastAsia" w:hAnsi="宋体"/>
                <w:lang w:val="en-US" w:eastAsia="zh-CN"/>
              </w:rPr>
              <w:t>专业</w:t>
            </w:r>
            <w:r>
              <w:rPr>
                <w:rFonts w:hint="eastAsia" w:ascii="宋体" w:hAnsi="宋体"/>
                <w:sz w:val="21"/>
                <w:szCs w:val="18"/>
              </w:rPr>
              <w:t>术语</w:t>
            </w:r>
          </w:p>
        </w:tc>
        <w:tc>
          <w:tcPr>
            <w:tcW w:w="1074" w:type="dxa"/>
            <w:vAlign w:val="center"/>
          </w:tcPr>
          <w:p w14:paraId="4223801F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vAlign w:val="center"/>
          </w:tcPr>
          <w:p w14:paraId="66F7047E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vAlign w:val="center"/>
          </w:tcPr>
          <w:p w14:paraId="2D7450CF">
            <w:pPr>
              <w:pStyle w:val="14"/>
            </w:pPr>
          </w:p>
        </w:tc>
        <w:tc>
          <w:tcPr>
            <w:tcW w:w="1073" w:type="dxa"/>
            <w:vAlign w:val="center"/>
          </w:tcPr>
          <w:p w14:paraId="624CD26A">
            <w:pPr>
              <w:pStyle w:val="14"/>
            </w:pPr>
          </w:p>
        </w:tc>
      </w:tr>
      <w:tr w14:paraId="34D066C1">
        <w:trPr>
          <w:trHeight w:val="340" w:hRule="atLeast"/>
          <w:jc w:val="center"/>
        </w:trPr>
        <w:tc>
          <w:tcPr>
            <w:tcW w:w="1834" w:type="dxa"/>
            <w:tcBorders>
              <w:left w:val="single" w:color="auto" w:sz="12" w:space="0"/>
            </w:tcBorders>
          </w:tcPr>
          <w:p w14:paraId="478F1CE8">
            <w:pPr>
              <w:pStyle w:val="14"/>
            </w:pPr>
            <w:r>
              <w:rPr>
                <w:rFonts w:hAnsi="宋体"/>
              </w:rPr>
              <w:t>第二章</w:t>
            </w:r>
            <w:r>
              <w:rPr>
                <w:rFonts w:hint="eastAsia" w:hAnsi="宋体"/>
              </w:rPr>
              <w:t xml:space="preserve"> </w:t>
            </w:r>
            <w:r>
              <w:rPr>
                <w:rFonts w:hAnsi="宋体"/>
              </w:rPr>
              <w:t>首饰设计与制作专业英语</w:t>
            </w:r>
          </w:p>
        </w:tc>
        <w:tc>
          <w:tcPr>
            <w:tcW w:w="1074" w:type="dxa"/>
            <w:vAlign w:val="center"/>
          </w:tcPr>
          <w:p w14:paraId="5854C313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vAlign w:val="center"/>
          </w:tcPr>
          <w:p w14:paraId="46CCA517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vAlign w:val="center"/>
          </w:tcPr>
          <w:p w14:paraId="33E6407E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73" w:type="dxa"/>
            <w:vAlign w:val="center"/>
          </w:tcPr>
          <w:p w14:paraId="2344F326">
            <w:pPr>
              <w:pStyle w:val="14"/>
            </w:pPr>
          </w:p>
        </w:tc>
      </w:tr>
      <w:tr w14:paraId="6AC2E331">
        <w:trPr>
          <w:trHeight w:val="340" w:hRule="atLeast"/>
          <w:jc w:val="center"/>
        </w:trPr>
        <w:tc>
          <w:tcPr>
            <w:tcW w:w="1834" w:type="dxa"/>
            <w:tcBorders>
              <w:left w:val="single" w:color="auto" w:sz="12" w:space="0"/>
            </w:tcBorders>
          </w:tcPr>
          <w:p w14:paraId="3A02D42E">
            <w:pPr>
              <w:pStyle w:val="14"/>
            </w:pPr>
            <w:r>
              <w:rPr>
                <w:rFonts w:hAnsi="宋体"/>
              </w:rPr>
              <w:t>第三章</w:t>
            </w:r>
            <w:r>
              <w:rPr>
                <w:rFonts w:hint="eastAsia" w:hAnsi="宋体"/>
              </w:rPr>
              <w:t xml:space="preserve"> </w:t>
            </w:r>
            <w:r>
              <w:rPr>
                <w:rFonts w:hAnsi="宋体"/>
              </w:rPr>
              <w:t>珠宝营销</w:t>
            </w:r>
          </w:p>
        </w:tc>
        <w:tc>
          <w:tcPr>
            <w:tcW w:w="1074" w:type="dxa"/>
            <w:vAlign w:val="center"/>
          </w:tcPr>
          <w:p w14:paraId="1992A8ED">
            <w:pPr>
              <w:pStyle w:val="14"/>
            </w:pPr>
          </w:p>
        </w:tc>
        <w:tc>
          <w:tcPr>
            <w:tcW w:w="1074" w:type="dxa"/>
            <w:vAlign w:val="center"/>
          </w:tcPr>
          <w:p w14:paraId="2A675920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vAlign w:val="center"/>
          </w:tcPr>
          <w:p w14:paraId="59D2EFF9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73" w:type="dxa"/>
            <w:vAlign w:val="center"/>
          </w:tcPr>
          <w:p w14:paraId="0C4D0B03">
            <w:pPr>
              <w:pStyle w:val="14"/>
            </w:pPr>
          </w:p>
        </w:tc>
      </w:tr>
      <w:tr w14:paraId="7A9A93C9">
        <w:trPr>
          <w:trHeight w:val="340" w:hRule="atLeast"/>
          <w:jc w:val="center"/>
        </w:trPr>
        <w:tc>
          <w:tcPr>
            <w:tcW w:w="1834" w:type="dxa"/>
            <w:tcBorders>
              <w:left w:val="single" w:color="auto" w:sz="12" w:space="0"/>
              <w:bottom w:val="single" w:color="auto" w:sz="12" w:space="0"/>
            </w:tcBorders>
          </w:tcPr>
          <w:p w14:paraId="5192B946">
            <w:pPr>
              <w:pStyle w:val="14"/>
            </w:pPr>
            <w:r>
              <w:rPr>
                <w:rFonts w:hAnsi="宋体"/>
                <w:bCs/>
              </w:rPr>
              <w:t>第四章</w:t>
            </w:r>
            <w:r>
              <w:rPr>
                <w:rFonts w:hint="eastAsia" w:hAnsi="宋体"/>
                <w:bCs/>
              </w:rPr>
              <w:t xml:space="preserve"> </w:t>
            </w:r>
            <w:r>
              <w:rPr>
                <w:rFonts w:hAnsi="宋体"/>
                <w:bCs/>
              </w:rPr>
              <w:t>面试英语</w:t>
            </w:r>
          </w:p>
        </w:tc>
        <w:tc>
          <w:tcPr>
            <w:tcW w:w="1074" w:type="dxa"/>
            <w:tcBorders>
              <w:bottom w:val="single" w:color="auto" w:sz="12" w:space="0"/>
            </w:tcBorders>
            <w:vAlign w:val="center"/>
          </w:tcPr>
          <w:p w14:paraId="04DA908B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tcBorders>
              <w:bottom w:val="single" w:color="auto" w:sz="12" w:space="0"/>
            </w:tcBorders>
            <w:vAlign w:val="center"/>
          </w:tcPr>
          <w:p w14:paraId="4FE7DD5E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tcBorders>
              <w:bottom w:val="single" w:color="auto" w:sz="12" w:space="0"/>
            </w:tcBorders>
            <w:vAlign w:val="center"/>
          </w:tcPr>
          <w:p w14:paraId="0D2433D2">
            <w:pPr>
              <w:pStyle w:val="14"/>
            </w:pPr>
          </w:p>
        </w:tc>
        <w:tc>
          <w:tcPr>
            <w:tcW w:w="1073" w:type="dxa"/>
            <w:tcBorders>
              <w:bottom w:val="single" w:color="auto" w:sz="12" w:space="0"/>
            </w:tcBorders>
            <w:vAlign w:val="center"/>
          </w:tcPr>
          <w:p w14:paraId="40E4BC81">
            <w:pPr>
              <w:pStyle w:val="14"/>
            </w:pPr>
          </w:p>
        </w:tc>
      </w:tr>
    </w:tbl>
    <w:p w14:paraId="17247AB0">
      <w:pPr>
        <w:pStyle w:val="17"/>
        <w:spacing w:before="326" w:beforeLines="100" w:after="163"/>
      </w:pPr>
      <w:r>
        <w:rPr>
          <w:rFonts w:hint="eastAsia"/>
        </w:rPr>
        <w:t>（三）课程教学方法与学时分配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1870"/>
        <w:gridCol w:w="2751"/>
        <w:gridCol w:w="1737"/>
        <w:gridCol w:w="728"/>
        <w:gridCol w:w="671"/>
        <w:gridCol w:w="719"/>
      </w:tblGrid>
      <w:tr w14:paraId="4998AB8D">
        <w:trPr>
          <w:trHeight w:val="340" w:hRule="atLeast"/>
          <w:jc w:val="center"/>
        </w:trPr>
        <w:tc>
          <w:tcPr>
            <w:tcW w:w="1826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6D835E5E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教学单元</w:t>
            </w:r>
          </w:p>
        </w:tc>
        <w:tc>
          <w:tcPr>
            <w:tcW w:w="2686" w:type="dxa"/>
            <w:vMerge w:val="restart"/>
            <w:tcBorders>
              <w:top w:val="single" w:color="auto" w:sz="12" w:space="0"/>
            </w:tcBorders>
            <w:vAlign w:val="center"/>
          </w:tcPr>
          <w:p w14:paraId="63C83156">
            <w:pPr>
              <w:pStyle w:val="13"/>
              <w:widowControl w:val="0"/>
              <w:rPr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教与学方式</w:t>
            </w:r>
          </w:p>
        </w:tc>
        <w:tc>
          <w:tcPr>
            <w:tcW w:w="1696" w:type="dxa"/>
            <w:vMerge w:val="restart"/>
            <w:tcBorders>
              <w:top w:val="single" w:color="auto" w:sz="12" w:space="0"/>
            </w:tcBorders>
            <w:vAlign w:val="center"/>
          </w:tcPr>
          <w:p w14:paraId="12198D62">
            <w:pPr>
              <w:pStyle w:val="13"/>
              <w:widowControl w:val="0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考核方式</w:t>
            </w:r>
          </w:p>
        </w:tc>
        <w:tc>
          <w:tcPr>
            <w:tcW w:w="2068" w:type="dxa"/>
            <w:gridSpan w:val="3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7951939B">
            <w:pPr>
              <w:pStyle w:val="13"/>
              <w:widowControl w:val="0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学时</w:t>
            </w:r>
            <w:r>
              <w:rPr>
                <w:rFonts w:hint="eastAsia" w:ascii="黑体" w:hAnsi="黑体"/>
                <w:bCs w:val="0"/>
                <w:szCs w:val="21"/>
              </w:rPr>
              <w:t>分配</w:t>
            </w:r>
          </w:p>
        </w:tc>
      </w:tr>
      <w:tr w14:paraId="707B6A12">
        <w:trPr>
          <w:trHeight w:val="340" w:hRule="atLeast"/>
          <w:jc w:val="center"/>
        </w:trPr>
        <w:tc>
          <w:tcPr>
            <w:tcW w:w="1826" w:type="dxa"/>
            <w:vMerge w:val="continue"/>
            <w:tcBorders>
              <w:left w:val="single" w:color="auto" w:sz="12" w:space="0"/>
            </w:tcBorders>
          </w:tcPr>
          <w:p w14:paraId="00FA1F03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2686" w:type="dxa"/>
            <w:vMerge w:val="continue"/>
          </w:tcPr>
          <w:p w14:paraId="168460F4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1696" w:type="dxa"/>
            <w:vMerge w:val="continue"/>
          </w:tcPr>
          <w:p w14:paraId="6F882038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11" w:type="dxa"/>
            <w:vAlign w:val="center"/>
          </w:tcPr>
          <w:p w14:paraId="5448F6CC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理论</w:t>
            </w:r>
          </w:p>
        </w:tc>
        <w:tc>
          <w:tcPr>
            <w:tcW w:w="655" w:type="dxa"/>
            <w:vAlign w:val="center"/>
          </w:tcPr>
          <w:p w14:paraId="0E30C84E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实践</w:t>
            </w:r>
          </w:p>
        </w:tc>
        <w:tc>
          <w:tcPr>
            <w:tcW w:w="702" w:type="dxa"/>
            <w:tcBorders>
              <w:right w:val="single" w:color="auto" w:sz="12" w:space="0"/>
            </w:tcBorders>
            <w:vAlign w:val="center"/>
          </w:tcPr>
          <w:p w14:paraId="008103CC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小计</w:t>
            </w:r>
          </w:p>
        </w:tc>
      </w:tr>
      <w:tr w14:paraId="47B49A07">
        <w:trPr>
          <w:trHeight w:val="454" w:hRule="atLeast"/>
          <w:jc w:val="center"/>
        </w:trPr>
        <w:tc>
          <w:tcPr>
            <w:tcW w:w="1826" w:type="dxa"/>
            <w:tcBorders>
              <w:left w:val="single" w:color="auto" w:sz="12" w:space="0"/>
            </w:tcBorders>
            <w:vAlign w:val="center"/>
          </w:tcPr>
          <w:p w14:paraId="49A120E3">
            <w:pPr>
              <w:widowControl w:val="0"/>
              <w:snapToGrid w:val="0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第一单元</w:t>
            </w:r>
          </w:p>
        </w:tc>
        <w:tc>
          <w:tcPr>
            <w:tcW w:w="2686" w:type="dxa"/>
          </w:tcPr>
          <w:p w14:paraId="13F04B1D">
            <w:pPr>
              <w:widowControl w:val="0"/>
              <w:snapToGrid w:val="0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讲授法、</w:t>
            </w:r>
            <w:r>
              <w:rPr>
                <w:rFonts w:hint="eastAsia" w:cs="宋体"/>
                <w:bCs/>
                <w:sz w:val="21"/>
                <w:szCs w:val="21"/>
                <w:lang w:val="en-US" w:eastAsia="zh-CN"/>
              </w:rPr>
              <w:t>案例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学习法</w:t>
            </w:r>
          </w:p>
        </w:tc>
        <w:tc>
          <w:tcPr>
            <w:tcW w:w="1696" w:type="dxa"/>
          </w:tcPr>
          <w:p w14:paraId="047E60BE">
            <w:pPr>
              <w:widowControl w:val="0"/>
              <w:snapToGrid w:val="0"/>
              <w:jc w:val="center"/>
              <w:rPr>
                <w:rFonts w:hint="default" w:ascii="Arial" w:hAnsi="Arial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lang w:val="en-US" w:eastAsia="zh-CN"/>
              </w:rPr>
              <w:t>翻译与考试</w:t>
            </w:r>
          </w:p>
        </w:tc>
        <w:tc>
          <w:tcPr>
            <w:tcW w:w="711" w:type="dxa"/>
            <w:vAlign w:val="center"/>
          </w:tcPr>
          <w:p w14:paraId="7F521E41">
            <w:pPr>
              <w:widowControl w:val="0"/>
              <w:snapToGrid w:val="0"/>
              <w:jc w:val="center"/>
              <w:rPr>
                <w:rFonts w:hint="default" w:ascii="Arial" w:hAnsi="Arial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655" w:type="dxa"/>
            <w:vAlign w:val="center"/>
          </w:tcPr>
          <w:p w14:paraId="0C5F9D86">
            <w:pPr>
              <w:widowControl w:val="0"/>
              <w:snapToGrid w:val="0"/>
              <w:jc w:val="center"/>
              <w:rPr>
                <w:rFonts w:hint="default" w:ascii="Arial" w:hAnsi="Arial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02" w:type="dxa"/>
            <w:tcBorders>
              <w:right w:val="single" w:color="auto" w:sz="12" w:space="0"/>
            </w:tcBorders>
            <w:vAlign w:val="center"/>
          </w:tcPr>
          <w:p w14:paraId="4B2AE589">
            <w:pPr>
              <w:widowControl w:val="0"/>
              <w:snapToGrid w:val="0"/>
              <w:jc w:val="center"/>
              <w:rPr>
                <w:rFonts w:hint="default" w:ascii="Arial" w:hAnsi="Arial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lang w:val="en-US" w:eastAsia="zh-CN"/>
              </w:rPr>
              <w:t>20</w:t>
            </w:r>
          </w:p>
        </w:tc>
      </w:tr>
      <w:tr w14:paraId="2A777698">
        <w:trPr>
          <w:trHeight w:val="454" w:hRule="atLeast"/>
          <w:jc w:val="center"/>
        </w:trPr>
        <w:tc>
          <w:tcPr>
            <w:tcW w:w="1826" w:type="dxa"/>
            <w:tcBorders>
              <w:left w:val="single" w:color="auto" w:sz="12" w:space="0"/>
            </w:tcBorders>
            <w:vAlign w:val="center"/>
          </w:tcPr>
          <w:p w14:paraId="7685CF8A">
            <w:pPr>
              <w:widowControl w:val="0"/>
              <w:snapToGrid w:val="0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第二单元</w:t>
            </w:r>
          </w:p>
        </w:tc>
        <w:tc>
          <w:tcPr>
            <w:tcW w:w="2686" w:type="dxa"/>
          </w:tcPr>
          <w:p w14:paraId="3C54FCB9">
            <w:pPr>
              <w:widowControl w:val="0"/>
              <w:snapToGrid w:val="0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讲授法、讨论法、演示法、探究学习法、合作学习法、自主学习法</w:t>
            </w:r>
          </w:p>
        </w:tc>
        <w:tc>
          <w:tcPr>
            <w:tcW w:w="1696" w:type="dxa"/>
          </w:tcPr>
          <w:p w14:paraId="23700D97">
            <w:pPr>
              <w:widowControl w:val="0"/>
              <w:snapToGrid w:val="0"/>
              <w:jc w:val="center"/>
              <w:rPr>
                <w:rFonts w:hint="eastAsia" w:ascii="Arial" w:hAnsi="Arial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ascii="Arial" w:hAnsi="Arial" w:cs="Arial"/>
                <w:sz w:val="22"/>
                <w:szCs w:val="22"/>
              </w:rPr>
              <w:t>小组</w:t>
            </w:r>
            <w:r>
              <w:rPr>
                <w:rFonts w:hint="eastAsia" w:ascii="Arial" w:hAnsi="Arial" w:cs="Arial"/>
                <w:sz w:val="22"/>
                <w:szCs w:val="22"/>
                <w:lang w:val="en-US" w:eastAsia="zh-CN"/>
              </w:rPr>
              <w:t>展示</w:t>
            </w:r>
          </w:p>
        </w:tc>
        <w:tc>
          <w:tcPr>
            <w:tcW w:w="711" w:type="dxa"/>
            <w:vAlign w:val="center"/>
          </w:tcPr>
          <w:p w14:paraId="1CC61F2B">
            <w:pPr>
              <w:widowControl w:val="0"/>
              <w:snapToGrid w:val="0"/>
              <w:jc w:val="center"/>
              <w:rPr>
                <w:rFonts w:hint="eastAsia" w:ascii="Arial" w:hAnsi="Arial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55" w:type="dxa"/>
            <w:vAlign w:val="center"/>
          </w:tcPr>
          <w:p w14:paraId="77A668C5">
            <w:pPr>
              <w:widowControl w:val="0"/>
              <w:snapToGrid w:val="0"/>
              <w:jc w:val="center"/>
              <w:rPr>
                <w:rFonts w:hint="eastAsia" w:ascii="Arial" w:hAnsi="Arial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02" w:type="dxa"/>
            <w:tcBorders>
              <w:right w:val="single" w:color="auto" w:sz="12" w:space="0"/>
            </w:tcBorders>
            <w:vAlign w:val="center"/>
          </w:tcPr>
          <w:p w14:paraId="460E3797">
            <w:pPr>
              <w:widowControl w:val="0"/>
              <w:snapToGrid w:val="0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4</w:t>
            </w:r>
          </w:p>
        </w:tc>
      </w:tr>
      <w:tr w14:paraId="7D4C58E7">
        <w:trPr>
          <w:trHeight w:val="454" w:hRule="atLeast"/>
          <w:jc w:val="center"/>
        </w:trPr>
        <w:tc>
          <w:tcPr>
            <w:tcW w:w="1826" w:type="dxa"/>
            <w:tcBorders>
              <w:left w:val="single" w:color="auto" w:sz="12" w:space="0"/>
            </w:tcBorders>
            <w:vAlign w:val="center"/>
          </w:tcPr>
          <w:p w14:paraId="440D7DC9">
            <w:pPr>
              <w:widowControl w:val="0"/>
              <w:snapToGrid w:val="0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第三单元</w:t>
            </w:r>
          </w:p>
        </w:tc>
        <w:tc>
          <w:tcPr>
            <w:tcW w:w="2686" w:type="dxa"/>
          </w:tcPr>
          <w:p w14:paraId="7FBF5A82">
            <w:pPr>
              <w:widowControl w:val="0"/>
              <w:snapToGrid w:val="0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讲授法、讨论法、演示法、探究学习法、合作学习法、自主学习法</w:t>
            </w:r>
          </w:p>
        </w:tc>
        <w:tc>
          <w:tcPr>
            <w:tcW w:w="1696" w:type="dxa"/>
          </w:tcPr>
          <w:p w14:paraId="6B001B72">
            <w:pPr>
              <w:widowControl w:val="0"/>
              <w:snapToGrid w:val="0"/>
              <w:jc w:val="center"/>
              <w:rPr>
                <w:rFonts w:hint="default" w:ascii="Arial" w:hAnsi="Arial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lang w:val="en-US" w:eastAsia="zh-CN"/>
              </w:rPr>
              <w:t>珠宝商贸口语</w:t>
            </w:r>
          </w:p>
        </w:tc>
        <w:tc>
          <w:tcPr>
            <w:tcW w:w="711" w:type="dxa"/>
            <w:vAlign w:val="center"/>
          </w:tcPr>
          <w:p w14:paraId="7E29C5BE">
            <w:pPr>
              <w:widowControl w:val="0"/>
              <w:snapToGrid w:val="0"/>
              <w:jc w:val="center"/>
              <w:rPr>
                <w:rFonts w:hint="eastAsia" w:ascii="Arial" w:hAnsi="Arial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55" w:type="dxa"/>
            <w:vAlign w:val="center"/>
          </w:tcPr>
          <w:p w14:paraId="2394086E">
            <w:pPr>
              <w:widowControl w:val="0"/>
              <w:snapToGrid w:val="0"/>
              <w:jc w:val="center"/>
              <w:rPr>
                <w:rFonts w:hint="eastAsia" w:ascii="Arial" w:hAnsi="Arial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02" w:type="dxa"/>
            <w:tcBorders>
              <w:right w:val="single" w:color="auto" w:sz="12" w:space="0"/>
            </w:tcBorders>
            <w:vAlign w:val="center"/>
          </w:tcPr>
          <w:p w14:paraId="011427ED">
            <w:pPr>
              <w:widowControl w:val="0"/>
              <w:snapToGrid w:val="0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4</w:t>
            </w:r>
          </w:p>
        </w:tc>
      </w:tr>
      <w:tr w14:paraId="3FB62B43">
        <w:trPr>
          <w:trHeight w:val="454" w:hRule="atLeast"/>
          <w:jc w:val="center"/>
        </w:trPr>
        <w:tc>
          <w:tcPr>
            <w:tcW w:w="1826" w:type="dxa"/>
            <w:tcBorders>
              <w:left w:val="single" w:color="auto" w:sz="12" w:space="0"/>
            </w:tcBorders>
            <w:vAlign w:val="center"/>
          </w:tcPr>
          <w:p w14:paraId="74FBA3C1">
            <w:pPr>
              <w:widowControl w:val="0"/>
              <w:snapToGrid w:val="0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第四单元</w:t>
            </w:r>
          </w:p>
        </w:tc>
        <w:tc>
          <w:tcPr>
            <w:tcW w:w="2686" w:type="dxa"/>
          </w:tcPr>
          <w:p w14:paraId="71202257">
            <w:pPr>
              <w:widowControl w:val="0"/>
              <w:snapToGrid w:val="0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讲授法、</w:t>
            </w:r>
            <w:r>
              <w:rPr>
                <w:rFonts w:hint="eastAsia" w:cs="宋体"/>
                <w:bCs/>
                <w:sz w:val="21"/>
                <w:szCs w:val="21"/>
                <w:lang w:val="en-US" w:eastAsia="zh-CN"/>
              </w:rPr>
              <w:t>案例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学习法、探究学习法、自主学习法</w:t>
            </w:r>
          </w:p>
        </w:tc>
        <w:tc>
          <w:tcPr>
            <w:tcW w:w="1696" w:type="dxa"/>
          </w:tcPr>
          <w:p w14:paraId="78D2641B">
            <w:pPr>
              <w:widowControl w:val="0"/>
              <w:snapToGrid w:val="0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sz w:val="22"/>
                <w:szCs w:val="22"/>
              </w:rPr>
              <w:t>英文简历</w:t>
            </w:r>
          </w:p>
        </w:tc>
        <w:tc>
          <w:tcPr>
            <w:tcW w:w="711" w:type="dxa"/>
            <w:vAlign w:val="center"/>
          </w:tcPr>
          <w:p w14:paraId="3A574D6E">
            <w:pPr>
              <w:widowControl w:val="0"/>
              <w:snapToGrid w:val="0"/>
              <w:jc w:val="center"/>
              <w:rPr>
                <w:rFonts w:hint="eastAsia" w:ascii="Arial" w:hAnsi="Arial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55" w:type="dxa"/>
            <w:vAlign w:val="center"/>
          </w:tcPr>
          <w:p w14:paraId="424244E9">
            <w:pPr>
              <w:widowControl w:val="0"/>
              <w:snapToGrid w:val="0"/>
              <w:jc w:val="center"/>
              <w:rPr>
                <w:rFonts w:hint="eastAsia" w:ascii="Arial" w:hAnsi="Arial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02" w:type="dxa"/>
            <w:tcBorders>
              <w:right w:val="single" w:color="auto" w:sz="12" w:space="0"/>
            </w:tcBorders>
            <w:vAlign w:val="center"/>
          </w:tcPr>
          <w:p w14:paraId="035A7138">
            <w:pPr>
              <w:widowControl w:val="0"/>
              <w:snapToGrid w:val="0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4</w:t>
            </w:r>
          </w:p>
        </w:tc>
      </w:tr>
      <w:tr w14:paraId="47227D1D">
        <w:trPr>
          <w:trHeight w:val="454" w:hRule="atLeast"/>
          <w:jc w:val="center"/>
        </w:trPr>
        <w:tc>
          <w:tcPr>
            <w:tcW w:w="6208" w:type="dxa"/>
            <w:gridSpan w:val="3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AA692D7">
            <w:pPr>
              <w:pStyle w:val="13"/>
              <w:widowControl w:val="0"/>
              <w:rPr>
                <w:rFonts w:cs="Arial"/>
              </w:rPr>
            </w:pPr>
            <w:r>
              <w:rPr>
                <w:rFonts w:cs="Arial"/>
              </w:rPr>
              <w:t>合计</w:t>
            </w:r>
          </w:p>
        </w:tc>
        <w:tc>
          <w:tcPr>
            <w:tcW w:w="711" w:type="dxa"/>
            <w:tcBorders>
              <w:bottom w:val="single" w:color="auto" w:sz="12" w:space="0"/>
            </w:tcBorders>
            <w:vAlign w:val="center"/>
          </w:tcPr>
          <w:p w14:paraId="735C125A">
            <w:pPr>
              <w:widowControl w:val="0"/>
              <w:snapToGrid w:val="0"/>
              <w:jc w:val="center"/>
              <w:rPr>
                <w:rFonts w:hint="default" w:ascii="Arial" w:hAnsi="Arial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655" w:type="dxa"/>
            <w:tcBorders>
              <w:bottom w:val="single" w:color="auto" w:sz="12" w:space="0"/>
            </w:tcBorders>
            <w:vAlign w:val="center"/>
          </w:tcPr>
          <w:p w14:paraId="2E38F524">
            <w:pPr>
              <w:widowControl w:val="0"/>
              <w:snapToGrid w:val="0"/>
              <w:jc w:val="center"/>
              <w:rPr>
                <w:rFonts w:hint="default" w:ascii="Arial" w:hAnsi="Arial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0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5A213606">
            <w:pPr>
              <w:widowControl w:val="0"/>
              <w:snapToGrid w:val="0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32</w:t>
            </w:r>
          </w:p>
        </w:tc>
      </w:tr>
    </w:tbl>
    <w:p w14:paraId="1126A1D2">
      <w:pPr>
        <w:pStyle w:val="17"/>
        <w:spacing w:before="326" w:beforeLines="100" w:after="163"/>
      </w:pPr>
      <w:r>
        <w:rPr>
          <w:rFonts w:hint="eastAsia"/>
        </w:rPr>
        <w:t>（四）课内实验项目与基本要求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20"/>
        <w:gridCol w:w="1882"/>
        <w:gridCol w:w="4061"/>
        <w:gridCol w:w="862"/>
        <w:gridCol w:w="950"/>
      </w:tblGrid>
      <w:tr w14:paraId="745C6192">
        <w:trPr>
          <w:trHeight w:val="454" w:hRule="atLeast"/>
          <w:jc w:val="center"/>
        </w:trPr>
        <w:tc>
          <w:tcPr>
            <w:tcW w:w="70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1AB86E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序号</w:t>
            </w:r>
          </w:p>
        </w:tc>
        <w:tc>
          <w:tcPr>
            <w:tcW w:w="183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21FDD9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实验项目名称</w:t>
            </w:r>
          </w:p>
        </w:tc>
        <w:tc>
          <w:tcPr>
            <w:tcW w:w="39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435EB">
            <w:pPr>
              <w:pStyle w:val="13"/>
              <w:rPr>
                <w:szCs w:val="16"/>
              </w:rPr>
            </w:pPr>
            <w:r>
              <w:rPr>
                <w:rFonts w:hint="eastAsia" w:ascii="黑体" w:hAnsi="宋体"/>
                <w:szCs w:val="16"/>
              </w:rPr>
              <w:t>目标要求与</w:t>
            </w:r>
            <w:r>
              <w:rPr>
                <w:rFonts w:hint="eastAsia"/>
                <w:szCs w:val="16"/>
              </w:rPr>
              <w:t>主要内容</w:t>
            </w:r>
          </w:p>
        </w:tc>
        <w:tc>
          <w:tcPr>
            <w:tcW w:w="842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6521CE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 w14:paraId="65CEC6D5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时数</w:t>
            </w:r>
          </w:p>
        </w:tc>
        <w:tc>
          <w:tcPr>
            <w:tcW w:w="928" w:type="dxa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48AECD71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 w14:paraId="750C4FC0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类型</w:t>
            </w:r>
          </w:p>
        </w:tc>
      </w:tr>
      <w:tr w14:paraId="3FA20229">
        <w:trPr>
          <w:trHeight w:val="454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1822BD">
            <w:pPr>
              <w:pStyle w:val="14"/>
            </w:pPr>
            <w:r>
              <w:rPr>
                <w:rFonts w:hint="eastAsia"/>
              </w:rPr>
              <w:t>1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F97A83">
            <w:pPr>
              <w:pStyle w:val="14"/>
            </w:pPr>
            <w:r>
              <w:rPr>
                <w:rFonts w:ascii="Arial" w:hAnsi="Arial" w:cs="Arial"/>
                <w:sz w:val="22"/>
                <w:szCs w:val="22"/>
              </w:rPr>
              <w:t>小组展示</w:t>
            </w: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DC2DD">
            <w:pPr>
              <w:pStyle w:val="14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0"/>
                <w:lang w:val="en-US" w:eastAsia="zh-CN"/>
              </w:rPr>
              <w:t>通过小组调研珠宝品牌的历史背景和商品文化实践展示珠宝专业英</w:t>
            </w:r>
            <w:r>
              <w:rPr>
                <w:rFonts w:hint="eastAsia" w:ascii="宋体" w:hAnsi="宋体"/>
                <w:sz w:val="22"/>
                <w:szCs w:val="20"/>
              </w:rPr>
              <w:t>语</w:t>
            </w:r>
            <w:r>
              <w:rPr>
                <w:rFonts w:hint="eastAsia" w:ascii="宋体" w:hAnsi="宋体"/>
                <w:sz w:val="22"/>
                <w:szCs w:val="20"/>
                <w:lang w:val="en-US" w:eastAsia="zh-CN"/>
              </w:rPr>
              <w:t>表达，包括宝石、加工和设计、</w:t>
            </w:r>
            <w:r>
              <w:rPr>
                <w:rFonts w:hint="eastAsia" w:ascii="宋体" w:hAnsi="宋体"/>
                <w:sz w:val="22"/>
                <w:szCs w:val="20"/>
              </w:rPr>
              <w:t>客户接待、商品展示</w:t>
            </w:r>
            <w:r>
              <w:rPr>
                <w:rFonts w:hint="eastAsia" w:ascii="宋体" w:hAnsi="宋体"/>
                <w:sz w:val="22"/>
                <w:szCs w:val="20"/>
                <w:lang w:val="en-US" w:eastAsia="zh-CN"/>
              </w:rPr>
              <w:t>和</w:t>
            </w:r>
            <w:r>
              <w:rPr>
                <w:rFonts w:hint="eastAsia" w:ascii="宋体" w:hAnsi="宋体"/>
                <w:sz w:val="22"/>
                <w:szCs w:val="20"/>
              </w:rPr>
              <w:t>产品说明</w:t>
            </w:r>
            <w:r>
              <w:rPr>
                <w:rFonts w:hint="eastAsia" w:ascii="宋体" w:hAnsi="宋体"/>
                <w:sz w:val="22"/>
                <w:szCs w:val="20"/>
                <w:lang w:eastAsia="zh-CN"/>
              </w:rPr>
              <w:t>。</w:t>
            </w:r>
          </w:p>
        </w:tc>
        <w:tc>
          <w:tcPr>
            <w:tcW w:w="84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8978DF">
            <w:pPr>
              <w:pStyle w:val="14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928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76EEBBA8">
            <w:pPr>
              <w:pStyle w:val="14"/>
            </w:pPr>
            <w:r>
              <w:rPr>
                <w:rFonts w:hint="eastAsia"/>
              </w:rPr>
              <w:t>①④</w:t>
            </w:r>
          </w:p>
        </w:tc>
      </w:tr>
      <w:tr w14:paraId="0CF59744">
        <w:trPr>
          <w:trHeight w:val="454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39A88D">
            <w:pPr>
              <w:pStyle w:val="14"/>
            </w:pPr>
            <w:r>
              <w:rPr>
                <w:rFonts w:hint="eastAsia"/>
              </w:rPr>
              <w:t>2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03F1E7">
            <w:pPr>
              <w:pStyle w:val="14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珠宝商贸</w:t>
            </w: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40C1A">
            <w:pPr>
              <w:pStyle w:val="14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通过配音和商务对话方式，</w:t>
            </w:r>
            <w:r>
              <w:rPr>
                <w:rFonts w:hint="eastAsia"/>
                <w:color w:val="000000"/>
                <w:sz w:val="21"/>
                <w:szCs w:val="21"/>
              </w:rPr>
              <w:t>掌握贸易接待及客户拜访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询价交付等小组演示。</w:t>
            </w:r>
          </w:p>
        </w:tc>
        <w:tc>
          <w:tcPr>
            <w:tcW w:w="84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310B7A">
            <w:pPr>
              <w:pStyle w:val="14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928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5B920C7A">
            <w:pPr>
              <w:pStyle w:val="14"/>
            </w:pPr>
            <w:r>
              <w:rPr>
                <w:rFonts w:hint="eastAsia"/>
              </w:rPr>
              <w:t>①</w:t>
            </w:r>
          </w:p>
        </w:tc>
      </w:tr>
      <w:tr w14:paraId="1C0887E3">
        <w:trPr>
          <w:trHeight w:val="454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B8B13E">
            <w:pPr>
              <w:pStyle w:val="14"/>
            </w:pPr>
            <w:r>
              <w:rPr>
                <w:rFonts w:hint="eastAsia"/>
              </w:rPr>
              <w:t>3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74716F">
            <w:pPr>
              <w:pStyle w:val="14"/>
              <w:rPr>
                <w:rFonts w:hint="eastAsia" w:eastAsia="宋体"/>
                <w:lang w:val="en-US" w:eastAsia="zh-CN"/>
              </w:rPr>
            </w:pPr>
            <w:r>
              <w:rPr>
                <w:rFonts w:ascii="Arial" w:hAnsi="Arial" w:cs="Arial"/>
                <w:sz w:val="22"/>
                <w:szCs w:val="22"/>
              </w:rPr>
              <w:t>英文</w:t>
            </w:r>
            <w:r>
              <w:rPr>
                <w:rFonts w:hint="eastAsia" w:ascii="Arial" w:hAnsi="Arial" w:cs="Arial"/>
                <w:sz w:val="22"/>
                <w:szCs w:val="22"/>
                <w:lang w:val="en-US" w:eastAsia="zh-CN"/>
              </w:rPr>
              <w:t>求职</w:t>
            </w: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0AE55">
            <w:pPr>
              <w:pStyle w:val="14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英文简历撰写、求职自我介绍。</w:t>
            </w:r>
          </w:p>
        </w:tc>
        <w:tc>
          <w:tcPr>
            <w:tcW w:w="84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9CA1DC">
            <w:pPr>
              <w:pStyle w:val="14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928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0BFA4A7E">
            <w:pPr>
              <w:pStyle w:val="14"/>
            </w:pPr>
            <w:r>
              <w:rPr>
                <w:rFonts w:hint="eastAsia"/>
              </w:rPr>
              <w:t>③</w:t>
            </w:r>
          </w:p>
        </w:tc>
      </w:tr>
      <w:tr w14:paraId="725441D9">
        <w:trPr>
          <w:trHeight w:val="454" w:hRule="atLeast"/>
          <w:jc w:val="center"/>
        </w:trPr>
        <w:tc>
          <w:tcPr>
            <w:tcW w:w="8276" w:type="dxa"/>
            <w:gridSpan w:val="5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51C737">
            <w:pPr>
              <w:pStyle w:val="13"/>
            </w:pPr>
            <w:r>
              <w:rPr>
                <w:rFonts w:hint="eastAsia"/>
              </w:rPr>
              <w:t xml:space="preserve">实验类型：①演示型 </w:t>
            </w:r>
            <w:r>
              <w:t xml:space="preserve"> </w:t>
            </w:r>
            <w:r>
              <w:rPr>
                <w:rFonts w:hint="eastAsia"/>
              </w:rPr>
              <w:t xml:space="preserve">②验证型 </w:t>
            </w:r>
            <w:r>
              <w:t xml:space="preserve"> </w:t>
            </w:r>
            <w:r>
              <w:rPr>
                <w:rFonts w:hint="eastAsia"/>
              </w:rPr>
              <w:t xml:space="preserve">③设计型 </w:t>
            </w:r>
            <w:r>
              <w:t xml:space="preserve"> </w:t>
            </w:r>
            <w:r>
              <w:rPr>
                <w:rFonts w:hint="eastAsia"/>
              </w:rPr>
              <w:t>④综合型</w:t>
            </w:r>
          </w:p>
        </w:tc>
      </w:tr>
    </w:tbl>
    <w:p w14:paraId="256F1CDE">
      <w:pPr>
        <w:pStyle w:val="16"/>
        <w:spacing w:before="326" w:beforeLines="100" w:line="360" w:lineRule="auto"/>
        <w:ind w:firstLine="140" w:firstLineChars="50"/>
        <w:rPr>
          <w:rFonts w:ascii="黑体" w:hAnsi="宋体"/>
        </w:rPr>
      </w:pPr>
      <w:bookmarkStart w:id="2" w:name="OLE_LINK1"/>
      <w:bookmarkStart w:id="3" w:name="OLE_LINK2"/>
      <w:r>
        <w:rPr>
          <w:rFonts w:hint="eastAsia" w:ascii="黑体" w:hAnsi="宋体"/>
        </w:rPr>
        <w:t>四、课程思政教学设计</w:t>
      </w:r>
    </w:p>
    <w:bookmarkEnd w:id="2"/>
    <w:bookmarkEnd w:id="3"/>
    <w:tbl>
      <w:tblPr>
        <w:tblStyle w:val="8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</w:tblPr>
      <w:tblGrid>
        <w:gridCol w:w="8476"/>
      </w:tblGrid>
      <w:tr w14:paraId="419F4AFE">
        <w:trPr>
          <w:trHeight w:val="1128" w:hRule="atLeast"/>
        </w:trPr>
        <w:tc>
          <w:tcPr>
            <w:tcW w:w="8276" w:type="dxa"/>
            <w:vAlign w:val="center"/>
          </w:tcPr>
          <w:p w14:paraId="05D2BB99">
            <w:pPr>
              <w:widowControl w:val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第一章：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珠宝</w:t>
            </w:r>
            <w:r>
              <w:rPr>
                <w:rFonts w:hint="eastAsia"/>
                <w:color w:val="000000"/>
                <w:sz w:val="21"/>
                <w:szCs w:val="21"/>
              </w:rPr>
              <w:t>英语基础</w:t>
            </w:r>
            <w:r>
              <w:rPr>
                <w:color w:val="000000"/>
                <w:sz w:val="21"/>
                <w:szCs w:val="21"/>
              </w:rPr>
              <w:t xml:space="preserve">                                  </w:t>
            </w:r>
          </w:p>
          <w:p w14:paraId="086A40E2">
            <w:pPr>
              <w:widowControl w:val="0"/>
              <w:jc w:val="both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课程思政目标：培养严谨治学态度与自主学习能力</w:t>
            </w:r>
          </w:p>
          <w:p w14:paraId="26AA823D">
            <w:pPr>
              <w:widowControl w:val="0"/>
              <w:jc w:val="both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知识点：1. 宝石英语名称与文化属性；2. 天然与合成宝石辨析；3. 中国玉雕等传统工艺术语英译；4. 珠宝文献翻译训练</w:t>
            </w:r>
          </w:p>
          <w:p w14:paraId="1705C7E8">
            <w:pPr>
              <w:widowControl w:val="0"/>
              <w:jc w:val="both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思政点：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通过术语主权案例分析报告建构</w:t>
            </w:r>
            <w:r>
              <w:rPr>
                <w:rFonts w:hint="eastAsia"/>
                <w:color w:val="000000"/>
                <w:sz w:val="21"/>
                <w:szCs w:val="21"/>
              </w:rPr>
              <w:t>文化自信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通过合成宝石采购内化</w:t>
            </w:r>
            <w:r>
              <w:rPr>
                <w:rFonts w:hint="eastAsia"/>
                <w:color w:val="000000"/>
                <w:sz w:val="21"/>
                <w:szCs w:val="21"/>
              </w:rPr>
              <w:t>职业伦理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，体现可持续发展思维与供应链人权关怀，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通过表达传统技艺术语翻译的准确性、文化意象的跨文化传达效果提高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非遗传播能力</w:t>
            </w:r>
            <w:r>
              <w:rPr>
                <w:rFonts w:hint="eastAsia"/>
                <w:color w:val="000000"/>
                <w:sz w:val="21"/>
                <w:szCs w:val="21"/>
              </w:rPr>
              <w:t>。</w:t>
            </w:r>
          </w:p>
          <w:p w14:paraId="02B41F1F">
            <w:pPr>
              <w:widowControl w:val="0"/>
              <w:jc w:val="both"/>
              <w:rPr>
                <w:rFonts w:hint="eastAsia"/>
                <w:color w:val="000000"/>
                <w:sz w:val="21"/>
                <w:szCs w:val="21"/>
              </w:rPr>
            </w:pPr>
          </w:p>
          <w:p w14:paraId="4EFC955C">
            <w:pPr>
              <w:widowControl w:val="0"/>
              <w:jc w:val="both"/>
              <w:rPr>
                <w:bCs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第二章：</w:t>
            </w:r>
            <w:r>
              <w:rPr>
                <w:rFonts w:hint="eastAsia"/>
                <w:color w:val="000000"/>
                <w:sz w:val="21"/>
                <w:szCs w:val="21"/>
              </w:rPr>
              <w:t>珠宝商品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销售</w:t>
            </w:r>
            <w:r>
              <w:rPr>
                <w:rFonts w:hint="eastAsia"/>
                <w:color w:val="000000"/>
                <w:sz w:val="21"/>
                <w:szCs w:val="21"/>
              </w:rPr>
              <w:t>英语</w:t>
            </w:r>
            <w:r>
              <w:rPr>
                <w:color w:val="000000"/>
                <w:sz w:val="21"/>
                <w:szCs w:val="21"/>
              </w:rPr>
              <w:t xml:space="preserve">                        </w:t>
            </w:r>
          </w:p>
          <w:p w14:paraId="31793AE4">
            <w:pPr>
              <w:pStyle w:val="14"/>
              <w:widowControl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课程思政目标：激发产业自信与民族自豪感</w:t>
            </w:r>
          </w:p>
          <w:p w14:paraId="4F19E488">
            <w:pPr>
              <w:pStyle w:val="14"/>
              <w:widowControl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知识点</w:t>
            </w:r>
            <w:r>
              <w:rPr>
                <w:rFonts w:hint="eastAsia"/>
              </w:rPr>
              <w:t>：参考中国珠宝进出口总额十年增长曲线、故宫文创IP合作案例。分析周大福“传承系列”、老铺黄金古法工艺在海外社交媒体（如Instagram）的营销文案。</w:t>
            </w:r>
          </w:p>
          <w:p w14:paraId="4DEEDE92">
            <w:pPr>
              <w:pStyle w:val="14"/>
              <w:widowControl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任务：撰写英文推文，阐释花丝镶嵌技艺的现代价值。参考中国珠宝进出口总额十年增长曲线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讨论</w:t>
            </w:r>
            <w:r>
              <w:rPr>
                <w:rFonts w:hint="eastAsia"/>
              </w:rPr>
              <w:t>中国珠宝品牌应坚持本土元素还是迎合西方主流设计？</w:t>
            </w:r>
          </w:p>
          <w:p w14:paraId="50556AA1">
            <w:pPr>
              <w:pStyle w:val="14"/>
              <w:widowControl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思政点：对中国珠宝首饰行业的发展有一定的了解，培养学生的国家和民族自豪感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从“工艺复兴”理解传统文化创造性转化与创新性发展。辩证认识文化坚守与跨界创新的关系。</w:t>
            </w:r>
          </w:p>
          <w:p w14:paraId="3DF1373A">
            <w:pPr>
              <w:widowControl w:val="0"/>
              <w:jc w:val="both"/>
              <w:rPr>
                <w:color w:val="000000"/>
              </w:rPr>
            </w:pPr>
          </w:p>
          <w:p w14:paraId="69E07BB8">
            <w:pPr>
              <w:widowControl w:val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第三章：</w:t>
            </w:r>
            <w:r>
              <w:rPr>
                <w:rFonts w:hint="eastAsia"/>
                <w:color w:val="000000"/>
                <w:sz w:val="21"/>
                <w:szCs w:val="21"/>
              </w:rPr>
              <w:t>珠宝贸易谈判英语</w:t>
            </w:r>
            <w:r>
              <w:rPr>
                <w:color w:val="000000"/>
                <w:sz w:val="21"/>
                <w:szCs w:val="21"/>
              </w:rPr>
              <w:t xml:space="preserve">                            </w:t>
            </w:r>
          </w:p>
          <w:p w14:paraId="7BA2A8A3">
            <w:pPr>
              <w:widowControl w:val="0"/>
              <w:jc w:val="both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课程思政目标：传承文化基因与讲好中国故事</w:t>
            </w:r>
          </w:p>
          <w:p w14:paraId="08890DF1">
            <w:pPr>
              <w:widowControl w:val="0"/>
              <w:jc w:val="both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知识点：“非遗技艺国际谈判”模拟代表北京珐琅厂与国际买手磋商景泰蓝珠宝订单，用英语阐释“点蓝”“掐丝”工艺的工时成本与文化溢价。</w:t>
            </w:r>
          </w:p>
          <w:p w14:paraId="617DE93F">
            <w:pPr>
              <w:widowControl w:val="0"/>
              <w:jc w:val="both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思政点：从“廉价代工”到“文化增值”的产业升级路径认知。</w:t>
            </w:r>
          </w:p>
          <w:p w14:paraId="23781807">
            <w:pPr>
              <w:widowControl w:val="0"/>
              <w:jc w:val="both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</w:p>
          <w:p w14:paraId="5964FA2F">
            <w:pPr>
              <w:widowControl w:val="0"/>
              <w:jc w:val="both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 xml:space="preserve">第四章：面试英语                                   </w:t>
            </w:r>
          </w:p>
          <w:p w14:paraId="56562391">
            <w:pPr>
              <w:widowControl w:val="0"/>
              <w:snapToGrid w:val="0"/>
              <w:spacing w:line="288" w:lineRule="auto"/>
              <w:jc w:val="both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课程思政目标：塑造全球化视野与职业使命感</w:t>
            </w:r>
          </w:p>
          <w:p w14:paraId="21204278">
            <w:pPr>
              <w:widowControl w:val="0"/>
              <w:snapToGrid w:val="0"/>
              <w:spacing w:line="288" w:lineRule="auto"/>
              <w:jc w:val="both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知识点：用英语阐述对“环保珠宝（Ethical Jewelry）”“工匠精神”的理解。</w:t>
            </w:r>
          </w:p>
          <w:p w14:paraId="56B33A1B">
            <w:pPr>
              <w:widowControl w:val="0"/>
              <w:snapToGrid w:val="0"/>
              <w:spacing w:line="288" w:lineRule="auto"/>
              <w:jc w:val="both"/>
              <w:rPr>
                <w:rFonts w:hint="default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思政点：撰写简历，布局本土品牌的全球化布局思维。</w:t>
            </w:r>
          </w:p>
        </w:tc>
      </w:tr>
    </w:tbl>
    <w:p w14:paraId="6B6D63B0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五、课程考核</w:t>
      </w:r>
      <w:bookmarkStart w:id="4" w:name="OLE_LINK3"/>
      <w:bookmarkStart w:id="5" w:name="OLE_LINK4"/>
    </w:p>
    <w:bookmarkEnd w:id="4"/>
    <w:bookmarkEnd w:id="5"/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709"/>
        <w:gridCol w:w="2353"/>
        <w:gridCol w:w="612"/>
        <w:gridCol w:w="612"/>
        <w:gridCol w:w="612"/>
        <w:gridCol w:w="612"/>
        <w:gridCol w:w="612"/>
        <w:gridCol w:w="612"/>
        <w:gridCol w:w="706"/>
      </w:tblGrid>
      <w:tr w14:paraId="3F21A652">
        <w:trPr>
          <w:trHeight w:val="454" w:hRule="atLeast"/>
        </w:trPr>
        <w:tc>
          <w:tcPr>
            <w:tcW w:w="836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5E964588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709" w:type="dxa"/>
            <w:vMerge w:val="restart"/>
            <w:tcBorders>
              <w:top w:val="single" w:color="auto" w:sz="12" w:space="0"/>
            </w:tcBorders>
            <w:vAlign w:val="center"/>
          </w:tcPr>
          <w:p w14:paraId="45F65024">
            <w:pPr>
              <w:pStyle w:val="16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占比</w:t>
            </w:r>
          </w:p>
        </w:tc>
        <w:tc>
          <w:tcPr>
            <w:tcW w:w="2353" w:type="dxa"/>
            <w:vMerge w:val="restart"/>
            <w:tcBorders>
              <w:top w:val="single" w:color="auto" w:sz="12" w:space="0"/>
              <w:right w:val="double" w:color="auto" w:sz="4" w:space="0"/>
            </w:tcBorders>
            <w:vAlign w:val="center"/>
          </w:tcPr>
          <w:p w14:paraId="156D57D6">
            <w:pPr>
              <w:pStyle w:val="16"/>
              <w:widowControl w:val="0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考核方式</w:t>
            </w:r>
          </w:p>
        </w:tc>
        <w:tc>
          <w:tcPr>
            <w:tcW w:w="3672" w:type="dxa"/>
            <w:gridSpan w:val="6"/>
            <w:tcBorders>
              <w:top w:val="single" w:color="auto" w:sz="12" w:space="0"/>
              <w:left w:val="double" w:color="auto" w:sz="4" w:space="0"/>
            </w:tcBorders>
            <w:vAlign w:val="center"/>
          </w:tcPr>
          <w:p w14:paraId="1ECF6FA8">
            <w:pPr>
              <w:pStyle w:val="16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课程目标</w:t>
            </w:r>
          </w:p>
        </w:tc>
        <w:tc>
          <w:tcPr>
            <w:tcW w:w="706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6FB3B61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合计</w:t>
            </w:r>
          </w:p>
        </w:tc>
      </w:tr>
      <w:tr w14:paraId="238F54D9">
        <w:trPr>
          <w:trHeight w:val="454" w:hRule="atLeast"/>
        </w:trPr>
        <w:tc>
          <w:tcPr>
            <w:tcW w:w="836" w:type="dxa"/>
            <w:vMerge w:val="continue"/>
            <w:tcBorders>
              <w:left w:val="single" w:color="auto" w:sz="12" w:space="0"/>
            </w:tcBorders>
          </w:tcPr>
          <w:p w14:paraId="08F66678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</w:tcPr>
          <w:p w14:paraId="6FC5B26D">
            <w:pPr>
              <w:pStyle w:val="16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2353" w:type="dxa"/>
            <w:vMerge w:val="continue"/>
            <w:tcBorders>
              <w:right w:val="double" w:color="auto" w:sz="4" w:space="0"/>
            </w:tcBorders>
          </w:tcPr>
          <w:p w14:paraId="0E5AFF94">
            <w:pPr>
              <w:pStyle w:val="16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540B8D88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1</w:t>
            </w:r>
          </w:p>
        </w:tc>
        <w:tc>
          <w:tcPr>
            <w:tcW w:w="612" w:type="dxa"/>
            <w:vAlign w:val="center"/>
          </w:tcPr>
          <w:p w14:paraId="5A418028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2</w:t>
            </w:r>
          </w:p>
        </w:tc>
        <w:tc>
          <w:tcPr>
            <w:tcW w:w="612" w:type="dxa"/>
            <w:vAlign w:val="center"/>
          </w:tcPr>
          <w:p w14:paraId="1DDE7200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3</w:t>
            </w:r>
          </w:p>
        </w:tc>
        <w:tc>
          <w:tcPr>
            <w:tcW w:w="612" w:type="dxa"/>
            <w:vAlign w:val="center"/>
          </w:tcPr>
          <w:p w14:paraId="79C819F3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4</w:t>
            </w:r>
          </w:p>
        </w:tc>
        <w:tc>
          <w:tcPr>
            <w:tcW w:w="612" w:type="dxa"/>
            <w:vAlign w:val="center"/>
          </w:tcPr>
          <w:p w14:paraId="0C988913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612" w:type="dxa"/>
            <w:vAlign w:val="center"/>
          </w:tcPr>
          <w:p w14:paraId="52CF52E0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706" w:type="dxa"/>
            <w:vMerge w:val="continue"/>
            <w:tcBorders>
              <w:right w:val="single" w:color="auto" w:sz="12" w:space="0"/>
            </w:tcBorders>
          </w:tcPr>
          <w:p w14:paraId="76AB4552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</w:tr>
      <w:tr w14:paraId="321AC10E"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4CB6DEA0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709" w:type="dxa"/>
          </w:tcPr>
          <w:p w14:paraId="1E877924">
            <w:pPr>
              <w:pStyle w:val="14"/>
              <w:widowControl w:val="0"/>
            </w:pPr>
            <w:r>
              <w:rPr>
                <w:rFonts w:ascii="宋体" w:hAnsi="宋体"/>
                <w:bCs/>
                <w:szCs w:val="20"/>
              </w:rPr>
              <w:t>40</w:t>
            </w:r>
            <w:r>
              <w:rPr>
                <w:rFonts w:hint="eastAsia" w:ascii="宋体" w:hAnsi="宋体"/>
                <w:bCs/>
                <w:szCs w:val="20"/>
              </w:rPr>
              <w:t>%</w:t>
            </w:r>
          </w:p>
        </w:tc>
        <w:tc>
          <w:tcPr>
            <w:tcW w:w="2353" w:type="dxa"/>
            <w:tcBorders>
              <w:right w:val="double" w:color="auto" w:sz="4" w:space="0"/>
            </w:tcBorders>
          </w:tcPr>
          <w:p w14:paraId="4E3F2BD3">
            <w:pPr>
              <w:pStyle w:val="14"/>
              <w:widowControl w:val="0"/>
              <w:jc w:val="left"/>
            </w:pPr>
            <w:r>
              <w:rPr>
                <w:rFonts w:hint="eastAsia"/>
              </w:rPr>
              <w:t>试卷考核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68811E02">
            <w:pPr>
              <w:pStyle w:val="14"/>
              <w:widowControl w:val="0"/>
            </w:pPr>
            <w:r>
              <w:t>30</w:t>
            </w:r>
          </w:p>
        </w:tc>
        <w:tc>
          <w:tcPr>
            <w:tcW w:w="612" w:type="dxa"/>
            <w:vAlign w:val="center"/>
          </w:tcPr>
          <w:p w14:paraId="3C692332">
            <w:pPr>
              <w:pStyle w:val="14"/>
              <w:widowControl w:val="0"/>
            </w:pPr>
            <w:r>
              <w:t>30</w:t>
            </w:r>
          </w:p>
        </w:tc>
        <w:tc>
          <w:tcPr>
            <w:tcW w:w="612" w:type="dxa"/>
            <w:vAlign w:val="center"/>
          </w:tcPr>
          <w:p w14:paraId="2878014B">
            <w:pPr>
              <w:pStyle w:val="14"/>
              <w:widowControl w:val="0"/>
            </w:pPr>
            <w:r>
              <w:t>10</w:t>
            </w:r>
          </w:p>
        </w:tc>
        <w:tc>
          <w:tcPr>
            <w:tcW w:w="612" w:type="dxa"/>
            <w:vAlign w:val="center"/>
          </w:tcPr>
          <w:p w14:paraId="1ED662B4">
            <w:pPr>
              <w:pStyle w:val="14"/>
              <w:widowControl w:val="0"/>
            </w:pPr>
            <w:r>
              <w:t>30</w:t>
            </w:r>
          </w:p>
        </w:tc>
        <w:tc>
          <w:tcPr>
            <w:tcW w:w="612" w:type="dxa"/>
            <w:vAlign w:val="center"/>
          </w:tcPr>
          <w:p w14:paraId="21955FAB">
            <w:pPr>
              <w:pStyle w:val="14"/>
              <w:widowControl w:val="0"/>
            </w:pPr>
          </w:p>
        </w:tc>
        <w:tc>
          <w:tcPr>
            <w:tcW w:w="612" w:type="dxa"/>
            <w:vAlign w:val="center"/>
          </w:tcPr>
          <w:p w14:paraId="7A83F983">
            <w:pPr>
              <w:pStyle w:val="14"/>
              <w:widowControl w:val="0"/>
            </w:pP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340800FD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19FBEEC2"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476CF314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709" w:type="dxa"/>
          </w:tcPr>
          <w:p w14:paraId="39B61A90">
            <w:pPr>
              <w:pStyle w:val="14"/>
              <w:widowControl w:val="0"/>
            </w:pPr>
            <w:r>
              <w:rPr>
                <w:rFonts w:hint="eastAsia" w:ascii="宋体" w:hAnsi="宋体"/>
                <w:bCs/>
                <w:szCs w:val="20"/>
                <w:lang w:val="en-US" w:eastAsia="zh-CN"/>
              </w:rPr>
              <w:t>30</w:t>
            </w:r>
            <w:r>
              <w:rPr>
                <w:rFonts w:hint="eastAsia" w:ascii="宋体" w:hAnsi="宋体"/>
                <w:bCs/>
                <w:szCs w:val="20"/>
              </w:rPr>
              <w:t>%</w:t>
            </w:r>
          </w:p>
        </w:tc>
        <w:tc>
          <w:tcPr>
            <w:tcW w:w="2353" w:type="dxa"/>
            <w:tcBorders>
              <w:right w:val="double" w:color="auto" w:sz="4" w:space="0"/>
            </w:tcBorders>
          </w:tcPr>
          <w:p w14:paraId="1A25C70E">
            <w:pPr>
              <w:pStyle w:val="14"/>
              <w:widowControl w:val="0"/>
              <w:jc w:val="left"/>
            </w:pPr>
            <w:r>
              <w:rPr>
                <w:rFonts w:hint="eastAsia"/>
              </w:rPr>
              <w:t>小组演讲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3652152A">
            <w:pPr>
              <w:pStyle w:val="14"/>
              <w:widowControl w:val="0"/>
            </w:pPr>
            <w:r>
              <w:t>20</w:t>
            </w:r>
          </w:p>
        </w:tc>
        <w:tc>
          <w:tcPr>
            <w:tcW w:w="612" w:type="dxa"/>
            <w:vAlign w:val="center"/>
          </w:tcPr>
          <w:p w14:paraId="0602C520">
            <w:pPr>
              <w:pStyle w:val="14"/>
              <w:widowControl w:val="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33512070">
            <w:pPr>
              <w:pStyle w:val="14"/>
              <w:widowControl w:val="0"/>
            </w:pPr>
            <w:r>
              <w:t>60</w:t>
            </w:r>
          </w:p>
        </w:tc>
        <w:tc>
          <w:tcPr>
            <w:tcW w:w="612" w:type="dxa"/>
            <w:vAlign w:val="center"/>
          </w:tcPr>
          <w:p w14:paraId="4A562AEC">
            <w:pPr>
              <w:pStyle w:val="14"/>
              <w:widowControl w:val="0"/>
            </w:pPr>
          </w:p>
        </w:tc>
        <w:tc>
          <w:tcPr>
            <w:tcW w:w="612" w:type="dxa"/>
            <w:vAlign w:val="center"/>
          </w:tcPr>
          <w:p w14:paraId="66B98F73">
            <w:pPr>
              <w:pStyle w:val="14"/>
              <w:widowControl w:val="0"/>
            </w:pPr>
          </w:p>
        </w:tc>
        <w:tc>
          <w:tcPr>
            <w:tcW w:w="612" w:type="dxa"/>
            <w:vAlign w:val="center"/>
          </w:tcPr>
          <w:p w14:paraId="77C1284F">
            <w:pPr>
              <w:pStyle w:val="14"/>
              <w:widowControl w:val="0"/>
            </w:pP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4834505E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728363A6"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71033C53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709" w:type="dxa"/>
          </w:tcPr>
          <w:p w14:paraId="242E30AB">
            <w:pPr>
              <w:pStyle w:val="14"/>
              <w:widowControl w:val="0"/>
            </w:pPr>
            <w:r>
              <w:rPr>
                <w:rFonts w:ascii="宋体" w:hAnsi="宋体"/>
                <w:bCs/>
                <w:szCs w:val="20"/>
              </w:rPr>
              <w:t>1</w:t>
            </w:r>
            <w:r>
              <w:rPr>
                <w:rFonts w:hint="eastAsia" w:ascii="宋体" w:hAnsi="宋体"/>
                <w:bCs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/>
                <w:bCs/>
                <w:szCs w:val="20"/>
              </w:rPr>
              <w:t>%</w:t>
            </w:r>
          </w:p>
        </w:tc>
        <w:tc>
          <w:tcPr>
            <w:tcW w:w="2353" w:type="dxa"/>
            <w:tcBorders>
              <w:right w:val="double" w:color="auto" w:sz="4" w:space="0"/>
            </w:tcBorders>
          </w:tcPr>
          <w:p w14:paraId="1B0DD4FC">
            <w:pPr>
              <w:pStyle w:val="14"/>
              <w:widowControl w:val="0"/>
              <w:jc w:val="left"/>
            </w:pPr>
            <w:r>
              <w:rPr>
                <w:rFonts w:hint="eastAsia"/>
              </w:rPr>
              <w:t>英文简历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7CB0783F">
            <w:pPr>
              <w:pStyle w:val="14"/>
              <w:widowControl w:val="0"/>
            </w:pPr>
            <w:r>
              <w:rPr>
                <w:rFonts w:hint="eastAsia"/>
              </w:rPr>
              <w:t>5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19020BA4">
            <w:pPr>
              <w:pStyle w:val="14"/>
              <w:widowControl w:val="0"/>
            </w:pPr>
            <w:r>
              <w:t>50</w:t>
            </w:r>
          </w:p>
        </w:tc>
        <w:tc>
          <w:tcPr>
            <w:tcW w:w="612" w:type="dxa"/>
            <w:vAlign w:val="center"/>
          </w:tcPr>
          <w:p w14:paraId="7E8544B4">
            <w:pPr>
              <w:pStyle w:val="14"/>
              <w:widowControl w:val="0"/>
            </w:pPr>
          </w:p>
        </w:tc>
        <w:tc>
          <w:tcPr>
            <w:tcW w:w="612" w:type="dxa"/>
            <w:vAlign w:val="center"/>
          </w:tcPr>
          <w:p w14:paraId="59A99B16">
            <w:pPr>
              <w:pStyle w:val="14"/>
              <w:widowControl w:val="0"/>
            </w:pPr>
          </w:p>
        </w:tc>
        <w:tc>
          <w:tcPr>
            <w:tcW w:w="612" w:type="dxa"/>
            <w:vAlign w:val="center"/>
          </w:tcPr>
          <w:p w14:paraId="5AAF71D5">
            <w:pPr>
              <w:pStyle w:val="14"/>
              <w:widowControl w:val="0"/>
            </w:pPr>
          </w:p>
        </w:tc>
        <w:tc>
          <w:tcPr>
            <w:tcW w:w="612" w:type="dxa"/>
            <w:vAlign w:val="center"/>
          </w:tcPr>
          <w:p w14:paraId="17AEE63A">
            <w:pPr>
              <w:pStyle w:val="14"/>
              <w:widowControl w:val="0"/>
            </w:pP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2BC2FD7D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3C121B72"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3592BCD5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X4</w:t>
            </w:r>
          </w:p>
        </w:tc>
        <w:tc>
          <w:tcPr>
            <w:tcW w:w="709" w:type="dxa"/>
          </w:tcPr>
          <w:p w14:paraId="59631603">
            <w:pPr>
              <w:pStyle w:val="14"/>
              <w:widowControl w:val="0"/>
            </w:pPr>
            <w:r>
              <w:rPr>
                <w:rFonts w:ascii="宋体" w:hAnsi="宋体"/>
                <w:bCs/>
                <w:szCs w:val="20"/>
              </w:rPr>
              <w:t>15</w:t>
            </w:r>
            <w:r>
              <w:rPr>
                <w:rFonts w:hint="eastAsia" w:ascii="宋体" w:hAnsi="宋体"/>
                <w:bCs/>
                <w:szCs w:val="20"/>
              </w:rPr>
              <w:t>%</w:t>
            </w:r>
          </w:p>
        </w:tc>
        <w:tc>
          <w:tcPr>
            <w:tcW w:w="2353" w:type="dxa"/>
            <w:tcBorders>
              <w:right w:val="double" w:color="auto" w:sz="4" w:space="0"/>
            </w:tcBorders>
          </w:tcPr>
          <w:p w14:paraId="49505ABD">
            <w:pPr>
              <w:pStyle w:val="14"/>
              <w:widowControl w:val="0"/>
              <w:jc w:val="left"/>
            </w:pPr>
            <w:r>
              <w:rPr>
                <w:rFonts w:hint="eastAsia" w:ascii="宋体" w:hAnsi="宋体"/>
                <w:bCs/>
                <w:szCs w:val="20"/>
              </w:rPr>
              <w:t>英语配音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2AB5E2D9">
            <w:pPr>
              <w:pStyle w:val="14"/>
              <w:widowControl w:val="0"/>
            </w:pPr>
            <w:r>
              <w:t>40</w:t>
            </w:r>
          </w:p>
        </w:tc>
        <w:tc>
          <w:tcPr>
            <w:tcW w:w="612" w:type="dxa"/>
            <w:vAlign w:val="center"/>
          </w:tcPr>
          <w:p w14:paraId="1ECC5EAC">
            <w:pPr>
              <w:pStyle w:val="14"/>
              <w:widowControl w:val="0"/>
            </w:pPr>
            <w:r>
              <w:t>40</w:t>
            </w:r>
          </w:p>
        </w:tc>
        <w:tc>
          <w:tcPr>
            <w:tcW w:w="612" w:type="dxa"/>
            <w:vAlign w:val="center"/>
          </w:tcPr>
          <w:p w14:paraId="2158BD09">
            <w:pPr>
              <w:pStyle w:val="14"/>
              <w:widowControl w:val="0"/>
            </w:pPr>
            <w:r>
              <w:t>20</w:t>
            </w:r>
          </w:p>
        </w:tc>
        <w:tc>
          <w:tcPr>
            <w:tcW w:w="612" w:type="dxa"/>
            <w:vAlign w:val="center"/>
          </w:tcPr>
          <w:p w14:paraId="6458BFDC">
            <w:pPr>
              <w:pStyle w:val="14"/>
              <w:widowControl w:val="0"/>
            </w:pPr>
          </w:p>
        </w:tc>
        <w:tc>
          <w:tcPr>
            <w:tcW w:w="612" w:type="dxa"/>
            <w:vAlign w:val="center"/>
          </w:tcPr>
          <w:p w14:paraId="3BC5409A">
            <w:pPr>
              <w:pStyle w:val="14"/>
              <w:widowControl w:val="0"/>
            </w:pPr>
          </w:p>
        </w:tc>
        <w:tc>
          <w:tcPr>
            <w:tcW w:w="612" w:type="dxa"/>
            <w:vAlign w:val="center"/>
          </w:tcPr>
          <w:p w14:paraId="194C1A15">
            <w:pPr>
              <w:pStyle w:val="14"/>
              <w:widowControl w:val="0"/>
            </w:pP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17914BB5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</w:tbl>
    <w:p w14:paraId="0B7B439A">
      <w:pPr>
        <w:pStyle w:val="17"/>
        <w:spacing w:before="326" w:beforeLines="100" w:after="163"/>
        <w:jc w:val="center"/>
      </w:pPr>
      <w:r>
        <w:rPr>
          <w:rFonts w:hint="eastAsia"/>
        </w:rPr>
        <w:t>评价标准细则</w:t>
      </w:r>
    </w:p>
    <w:tbl>
      <w:tblPr>
        <w:tblStyle w:val="8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1"/>
        <w:gridCol w:w="667"/>
        <w:gridCol w:w="1310"/>
        <w:gridCol w:w="1580"/>
        <w:gridCol w:w="1445"/>
        <w:gridCol w:w="1445"/>
        <w:gridCol w:w="1445"/>
      </w:tblGrid>
      <w:tr w14:paraId="464DC21E">
        <w:trPr>
          <w:trHeight w:val="283" w:hRule="atLeast"/>
        </w:trPr>
        <w:tc>
          <w:tcPr>
            <w:tcW w:w="631" w:type="dxa"/>
            <w:vMerge w:val="restart"/>
            <w:vAlign w:val="center"/>
          </w:tcPr>
          <w:p w14:paraId="12DD3308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考核项目</w:t>
            </w:r>
          </w:p>
        </w:tc>
        <w:tc>
          <w:tcPr>
            <w:tcW w:w="667" w:type="dxa"/>
            <w:vMerge w:val="restart"/>
          </w:tcPr>
          <w:p w14:paraId="4AFB6357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课</w:t>
            </w:r>
          </w:p>
          <w:p w14:paraId="291EEB9B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程</w:t>
            </w:r>
          </w:p>
          <w:p w14:paraId="22415B79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目</w:t>
            </w:r>
          </w:p>
          <w:p w14:paraId="405EF358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标</w:t>
            </w:r>
          </w:p>
        </w:tc>
        <w:tc>
          <w:tcPr>
            <w:tcW w:w="1310" w:type="dxa"/>
            <w:vMerge w:val="restart"/>
            <w:vAlign w:val="center"/>
          </w:tcPr>
          <w:p w14:paraId="15AA4E43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考核要求</w:t>
            </w:r>
          </w:p>
        </w:tc>
        <w:tc>
          <w:tcPr>
            <w:tcW w:w="5915" w:type="dxa"/>
            <w:gridSpan w:val="4"/>
            <w:vAlign w:val="center"/>
          </w:tcPr>
          <w:p w14:paraId="41892B45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评价标准</w:t>
            </w:r>
          </w:p>
        </w:tc>
      </w:tr>
      <w:tr w14:paraId="756385DD">
        <w:trPr>
          <w:trHeight w:val="283" w:hRule="atLeast"/>
        </w:trPr>
        <w:tc>
          <w:tcPr>
            <w:tcW w:w="631" w:type="dxa"/>
            <w:vMerge w:val="continue"/>
          </w:tcPr>
          <w:p w14:paraId="301CE0C0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667" w:type="dxa"/>
            <w:vMerge w:val="continue"/>
          </w:tcPr>
          <w:p w14:paraId="5EE6F626">
            <w:pPr>
              <w:pStyle w:val="16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1310" w:type="dxa"/>
            <w:vMerge w:val="continue"/>
          </w:tcPr>
          <w:p w14:paraId="5D7DE5D2">
            <w:pPr>
              <w:pStyle w:val="16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1580" w:type="dxa"/>
            <w:vAlign w:val="center"/>
          </w:tcPr>
          <w:p w14:paraId="41E69736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优</w:t>
            </w:r>
          </w:p>
          <w:p w14:paraId="4643B800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100-90</w:t>
            </w:r>
          </w:p>
        </w:tc>
        <w:tc>
          <w:tcPr>
            <w:tcW w:w="1445" w:type="dxa"/>
            <w:vAlign w:val="center"/>
          </w:tcPr>
          <w:p w14:paraId="2EF6B97C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良</w:t>
            </w:r>
          </w:p>
          <w:p w14:paraId="4A368996">
            <w:pPr>
              <w:widowControl w:val="0"/>
              <w:snapToGrid w:val="0"/>
              <w:jc w:val="center"/>
              <w:rPr>
                <w:rFonts w:hint="default"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89-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1445" w:type="dxa"/>
            <w:vAlign w:val="center"/>
          </w:tcPr>
          <w:p w14:paraId="29491A88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中</w:t>
            </w:r>
          </w:p>
          <w:p w14:paraId="748BA17B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7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ascii="Arial" w:hAnsi="Arial" w:eastAsia="黑体" w:cs="Arial"/>
                <w:bCs/>
                <w:sz w:val="21"/>
                <w:szCs w:val="21"/>
              </w:rPr>
              <w:t>-60</w:t>
            </w:r>
          </w:p>
        </w:tc>
        <w:tc>
          <w:tcPr>
            <w:tcW w:w="1445" w:type="dxa"/>
            <w:vAlign w:val="center"/>
          </w:tcPr>
          <w:p w14:paraId="2BBECFDD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不及格</w:t>
            </w:r>
          </w:p>
          <w:p w14:paraId="52392594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59-0</w:t>
            </w:r>
          </w:p>
        </w:tc>
      </w:tr>
      <w:tr w14:paraId="3591E826">
        <w:trPr>
          <w:trHeight w:val="454" w:hRule="atLeast"/>
        </w:trPr>
        <w:tc>
          <w:tcPr>
            <w:tcW w:w="631" w:type="dxa"/>
            <w:vAlign w:val="center"/>
          </w:tcPr>
          <w:p w14:paraId="06136D18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667" w:type="dxa"/>
            <w:vAlign w:val="center"/>
          </w:tcPr>
          <w:p w14:paraId="324CE44C">
            <w:pPr>
              <w:widowControl w:val="0"/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10" w:type="dxa"/>
            <w:vAlign w:val="center"/>
          </w:tcPr>
          <w:p w14:paraId="4ADF02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  <w:r>
              <w:rPr>
                <w:rFonts w:hint="eastAsia"/>
              </w:rPr>
              <w:t>试卷考核</w:t>
            </w:r>
          </w:p>
        </w:tc>
        <w:tc>
          <w:tcPr>
            <w:tcW w:w="1580" w:type="dxa"/>
            <w:vAlign w:val="center"/>
          </w:tcPr>
          <w:p w14:paraId="686B747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hint="default" w:ascii="Helvetica" w:hAnsi="Helvetica" w:cs="Helvetica" w:eastAsiaTheme="minorEastAsia"/>
                <w:color w:val="000000"/>
                <w:sz w:val="19"/>
                <w:szCs w:val="19"/>
                <w:lang w:val="en-US" w:eastAsia="zh-CN"/>
              </w:rPr>
            </w:pPr>
            <w:r>
              <w:rPr>
                <w:rFonts w:hint="eastAsia" w:ascii="Helvetica" w:hAnsi="Helvetica" w:cs="Helvetica" w:eastAsiaTheme="minorEastAsia"/>
                <w:color w:val="000000"/>
                <w:sz w:val="19"/>
                <w:szCs w:val="19"/>
              </w:rPr>
              <w:t>准确率≥95%，能运用复杂句式精准翻译宝石学文献长难句</w:t>
            </w:r>
            <w:r>
              <w:rPr>
                <w:rFonts w:hint="eastAsia" w:ascii="Helvetica" w:hAnsi="Helvetica" w:cs="Helvetica" w:eastAsiaTheme="minorEastAsia"/>
                <w:color w:val="000000"/>
                <w:sz w:val="19"/>
                <w:szCs w:val="19"/>
                <w:lang w:eastAsia="zh-CN"/>
              </w:rPr>
              <w:t>，</w:t>
            </w:r>
            <w:r>
              <w:rPr>
                <w:rFonts w:hint="eastAsia" w:ascii="Helvetica" w:hAnsi="Helvetica" w:cs="Helvetica" w:eastAsiaTheme="minorEastAsia"/>
                <w:color w:val="000000"/>
                <w:sz w:val="19"/>
                <w:szCs w:val="19"/>
                <w:lang w:val="en-US" w:eastAsia="zh-CN"/>
              </w:rPr>
              <w:t>阅读简答</w:t>
            </w:r>
            <w:r>
              <w:rPr>
                <w:rFonts w:hint="eastAsia" w:ascii="Helvetica" w:hAnsi="Helvetica" w:cs="Helvetica" w:eastAsiaTheme="minorEastAsia"/>
                <w:color w:val="000000"/>
                <w:sz w:val="19"/>
                <w:szCs w:val="19"/>
              </w:rPr>
              <w:t>题</w:t>
            </w:r>
            <w:r>
              <w:rPr>
                <w:rFonts w:hint="eastAsia" w:ascii="Helvetica" w:hAnsi="Helvetica" w:cs="Helvetica" w:eastAsiaTheme="minorEastAsia"/>
                <w:color w:val="000000"/>
                <w:sz w:val="19"/>
                <w:szCs w:val="19"/>
                <w:lang w:val="en-US" w:eastAsia="zh-CN"/>
              </w:rPr>
              <w:t>紧靠题干并</w:t>
            </w:r>
            <w:r>
              <w:rPr>
                <w:rFonts w:hint="eastAsia" w:ascii="Helvetica" w:hAnsi="Helvetica" w:cs="Helvetica" w:eastAsiaTheme="minorEastAsia"/>
                <w:color w:val="000000"/>
                <w:sz w:val="19"/>
                <w:szCs w:val="19"/>
              </w:rPr>
              <w:t>呈现独创性见解（如对比中外镶嵌工艺术语差异）</w:t>
            </w:r>
            <w:r>
              <w:rPr>
                <w:rFonts w:hint="eastAsia" w:ascii="Helvetica" w:hAnsi="Helvetica" w:cs="Helvetica" w:eastAsiaTheme="minorEastAsia"/>
                <w:color w:val="000000"/>
                <w:sz w:val="19"/>
                <w:szCs w:val="19"/>
                <w:lang w:eastAsia="zh-CN"/>
              </w:rPr>
              <w:t>，</w:t>
            </w:r>
            <w:r>
              <w:rPr>
                <w:rFonts w:hint="eastAsia" w:ascii="Helvetica" w:hAnsi="Helvetica" w:cs="Helvetica" w:eastAsiaTheme="minorEastAsia"/>
                <w:color w:val="000000"/>
                <w:sz w:val="19"/>
                <w:szCs w:val="19"/>
                <w:lang w:val="en-US" w:eastAsia="zh-CN"/>
              </w:rPr>
              <w:t>听力拼写准确率高，并主题填空题的时态。</w:t>
            </w:r>
          </w:p>
        </w:tc>
        <w:tc>
          <w:tcPr>
            <w:tcW w:w="1445" w:type="dxa"/>
            <w:vAlign w:val="center"/>
          </w:tcPr>
          <w:p w14:paraId="7D5F032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hint="eastAsia" w:ascii="Helvetica" w:hAnsi="Helvetica" w:cs="Helvetica" w:eastAsiaTheme="minorEastAsia"/>
                <w:color w:val="000000"/>
                <w:sz w:val="19"/>
                <w:szCs w:val="19"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color w:val="000000"/>
                <w:sz w:val="19"/>
                <w:szCs w:val="19"/>
              </w:rPr>
              <w:t>准确率80%-94%，能完成常规文献翻译但存在少量措辞生硬</w:t>
            </w:r>
            <w:r>
              <w:rPr>
                <w:rFonts w:hint="eastAsia" w:ascii="Helvetica" w:hAnsi="Helvetica" w:cs="Helvetica" w:eastAsiaTheme="minorEastAsia"/>
                <w:color w:val="000000"/>
                <w:sz w:val="19"/>
                <w:szCs w:val="19"/>
                <w:lang w:eastAsia="zh-CN"/>
              </w:rPr>
              <w:t>，</w:t>
            </w:r>
            <w:r>
              <w:rPr>
                <w:rFonts w:hint="eastAsia" w:ascii="Helvetica" w:hAnsi="Helvetica" w:cs="Helvetica" w:eastAsiaTheme="minorEastAsia"/>
                <w:color w:val="000000"/>
                <w:sz w:val="19"/>
                <w:szCs w:val="19"/>
                <w:lang w:val="en-US" w:eastAsia="zh-CN"/>
              </w:rPr>
              <w:t>阅读简答</w:t>
            </w:r>
            <w:r>
              <w:rPr>
                <w:rFonts w:hint="eastAsia" w:ascii="Helvetica" w:hAnsi="Helvetica" w:cs="Helvetica" w:eastAsiaTheme="minorEastAsia"/>
                <w:color w:val="000000"/>
                <w:sz w:val="19"/>
                <w:szCs w:val="19"/>
              </w:rPr>
              <w:t>逻辑清晰但创新性不足</w:t>
            </w:r>
            <w:r>
              <w:rPr>
                <w:rFonts w:hint="eastAsia" w:ascii="Helvetica" w:hAnsi="Helvetica" w:cs="Helvetica" w:eastAsiaTheme="minorEastAsia"/>
                <w:color w:val="000000"/>
                <w:sz w:val="19"/>
                <w:szCs w:val="19"/>
                <w:lang w:eastAsia="zh-CN"/>
              </w:rPr>
              <w:t>，</w:t>
            </w:r>
            <w:r>
              <w:rPr>
                <w:rFonts w:hint="eastAsia" w:ascii="Helvetica" w:hAnsi="Helvetica" w:cs="Helvetica" w:eastAsiaTheme="minorEastAsia"/>
                <w:color w:val="000000"/>
                <w:sz w:val="19"/>
                <w:szCs w:val="19"/>
                <w:lang w:val="en-US" w:eastAsia="zh-CN"/>
              </w:rPr>
              <w:t>听力拼写准确率中等，复数和时态有少量错误。</w:t>
            </w:r>
          </w:p>
        </w:tc>
        <w:tc>
          <w:tcPr>
            <w:tcW w:w="1445" w:type="dxa"/>
            <w:vAlign w:val="center"/>
          </w:tcPr>
          <w:p w14:paraId="4108721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hint="eastAsia" w:ascii="Helvetica" w:hAnsi="Helvetica" w:cs="Helvetica" w:eastAsiaTheme="minorEastAsia"/>
                <w:color w:val="000000"/>
                <w:sz w:val="19"/>
                <w:szCs w:val="19"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color w:val="000000"/>
                <w:sz w:val="19"/>
                <w:szCs w:val="19"/>
              </w:rPr>
              <w:t>准确率60%-79%，基础术语翻译正确但长句结构混乱</w:t>
            </w:r>
            <w:r>
              <w:rPr>
                <w:rFonts w:hint="eastAsia" w:ascii="Helvetica" w:hAnsi="Helvetica" w:cs="Helvetica" w:eastAsiaTheme="minorEastAsia"/>
                <w:color w:val="000000"/>
                <w:sz w:val="19"/>
                <w:szCs w:val="19"/>
                <w:lang w:eastAsia="zh-CN"/>
              </w:rPr>
              <w:t>，</w:t>
            </w:r>
            <w:r>
              <w:rPr>
                <w:rFonts w:hint="eastAsia" w:ascii="Helvetica" w:hAnsi="Helvetica" w:cs="Helvetica" w:eastAsiaTheme="minorEastAsia"/>
                <w:color w:val="000000"/>
                <w:sz w:val="19"/>
                <w:szCs w:val="19"/>
                <w:lang w:val="en-US" w:eastAsia="zh-CN"/>
              </w:rPr>
              <w:t>阅读</w:t>
            </w:r>
            <w:r>
              <w:rPr>
                <w:rFonts w:hint="eastAsia" w:ascii="Helvetica" w:hAnsi="Helvetica" w:cs="Helvetica" w:eastAsiaTheme="minorEastAsia"/>
                <w:color w:val="000000"/>
                <w:sz w:val="19"/>
                <w:szCs w:val="19"/>
              </w:rPr>
              <w:t>案例分析仅复述课堂知识点，缺乏深度关联</w:t>
            </w:r>
            <w:r>
              <w:rPr>
                <w:rFonts w:hint="eastAsia" w:ascii="Helvetica" w:hAnsi="Helvetica" w:cs="Helvetica" w:eastAsiaTheme="minorEastAsia"/>
                <w:color w:val="000000"/>
                <w:sz w:val="19"/>
                <w:szCs w:val="19"/>
                <w:lang w:eastAsia="zh-CN"/>
              </w:rPr>
              <w:t>，</w:t>
            </w:r>
            <w:r>
              <w:rPr>
                <w:rFonts w:hint="eastAsia" w:ascii="Helvetica" w:hAnsi="Helvetica" w:cs="Helvetica" w:eastAsiaTheme="minorEastAsia"/>
                <w:color w:val="000000"/>
                <w:sz w:val="19"/>
                <w:szCs w:val="19"/>
                <w:lang w:val="en-US" w:eastAsia="zh-CN"/>
              </w:rPr>
              <w:t>听力拼写准确率低，复数和时态有错误。</w:t>
            </w:r>
          </w:p>
        </w:tc>
        <w:tc>
          <w:tcPr>
            <w:tcW w:w="1445" w:type="dxa"/>
            <w:vAlign w:val="center"/>
          </w:tcPr>
          <w:p w14:paraId="7C0DB97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hint="eastAsia" w:ascii="Helvetica" w:hAnsi="Helvetica" w:cs="Helvetica" w:eastAsiaTheme="minorEastAsia"/>
                <w:color w:val="000000"/>
                <w:sz w:val="19"/>
                <w:szCs w:val="19"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color w:val="000000"/>
                <w:sz w:val="19"/>
                <w:szCs w:val="19"/>
              </w:rPr>
              <w:t>准确率＜60%，关键术语错误频发（如混淆Carat与Karat）</w:t>
            </w:r>
            <w:r>
              <w:rPr>
                <w:rFonts w:hint="eastAsia" w:ascii="Helvetica" w:hAnsi="Helvetica" w:cs="Helvetica" w:eastAsiaTheme="minorEastAsia"/>
                <w:color w:val="000000"/>
                <w:sz w:val="19"/>
                <w:szCs w:val="19"/>
                <w:lang w:eastAsia="zh-CN"/>
              </w:rPr>
              <w:t>，</w:t>
            </w:r>
            <w:r>
              <w:rPr>
                <w:rFonts w:hint="eastAsia" w:ascii="Helvetica" w:hAnsi="Helvetica" w:cs="Helvetica" w:eastAsiaTheme="minorEastAsia"/>
                <w:color w:val="000000"/>
                <w:sz w:val="19"/>
                <w:szCs w:val="19"/>
              </w:rPr>
              <w:t xml:space="preserve"> 案例分析偏离题干或存在严重理解偏差</w:t>
            </w:r>
            <w:r>
              <w:rPr>
                <w:rFonts w:hint="eastAsia" w:ascii="Helvetica" w:hAnsi="Helvetica" w:cs="Helvetica" w:eastAsiaTheme="minorEastAsia"/>
                <w:color w:val="000000"/>
                <w:sz w:val="19"/>
                <w:szCs w:val="19"/>
                <w:lang w:eastAsia="zh-CN"/>
              </w:rPr>
              <w:t>，</w:t>
            </w:r>
            <w:r>
              <w:rPr>
                <w:rFonts w:hint="eastAsia" w:ascii="Helvetica" w:hAnsi="Helvetica" w:cs="Helvetica" w:eastAsiaTheme="minorEastAsia"/>
                <w:color w:val="000000"/>
                <w:sz w:val="19"/>
                <w:szCs w:val="19"/>
                <w:lang w:val="en-US" w:eastAsia="zh-CN"/>
              </w:rPr>
              <w:t>听力拼写准确率差，复数和时态错误多。</w:t>
            </w:r>
          </w:p>
        </w:tc>
      </w:tr>
      <w:tr w14:paraId="408A79DB">
        <w:trPr>
          <w:trHeight w:val="454" w:hRule="atLeast"/>
        </w:trPr>
        <w:tc>
          <w:tcPr>
            <w:tcW w:w="631" w:type="dxa"/>
            <w:vAlign w:val="center"/>
          </w:tcPr>
          <w:p w14:paraId="3983B779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667" w:type="dxa"/>
            <w:vAlign w:val="center"/>
          </w:tcPr>
          <w:p w14:paraId="0D22633E">
            <w:pPr>
              <w:widowControl w:val="0"/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10" w:type="dxa"/>
            <w:vAlign w:val="center"/>
          </w:tcPr>
          <w:p w14:paraId="7B46038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  <w:r>
              <w:rPr>
                <w:rFonts w:hint="eastAsia"/>
              </w:rPr>
              <w:t>小组演讲</w:t>
            </w:r>
          </w:p>
        </w:tc>
        <w:tc>
          <w:tcPr>
            <w:tcW w:w="1580" w:type="dxa"/>
            <w:vAlign w:val="center"/>
          </w:tcPr>
          <w:p w14:paraId="4802799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hint="default" w:ascii="Helvetica" w:hAnsi="Helvetica" w:cs="Helvetica" w:eastAsiaTheme="minorEastAsia"/>
                <w:color w:val="000000"/>
                <w:sz w:val="19"/>
                <w:szCs w:val="19"/>
                <w:lang w:val="en-US" w:eastAsia="zh-CN"/>
              </w:rPr>
            </w:pPr>
            <w:r>
              <w:rPr>
                <w:rFonts w:hint="eastAsia" w:ascii="Helvetica" w:hAnsi="Helvetica" w:cs="Helvetica" w:eastAsiaTheme="minorEastAsia"/>
                <w:color w:val="000000"/>
                <w:sz w:val="19"/>
                <w:szCs w:val="19"/>
              </w:rPr>
              <w:t>演讲结构采用黄金圈法则（Why-How-What），双语PPT设计具</w:t>
            </w:r>
            <w:r>
              <w:rPr>
                <w:rFonts w:hint="eastAsia" w:ascii="Helvetica" w:hAnsi="Helvetica" w:cs="Helvetica" w:eastAsiaTheme="minorEastAsia"/>
                <w:color w:val="000000"/>
                <w:sz w:val="19"/>
                <w:szCs w:val="19"/>
                <w:lang w:val="en-US" w:eastAsia="zh-CN"/>
              </w:rPr>
              <w:t>美观、逻辑性、故事性</w:t>
            </w:r>
            <w:r>
              <w:rPr>
                <w:rFonts w:hint="eastAsia" w:ascii="Helvetica" w:hAnsi="Helvetica" w:cs="Helvetica" w:eastAsiaTheme="minorEastAsia"/>
                <w:color w:val="000000"/>
                <w:sz w:val="19"/>
                <w:szCs w:val="19"/>
              </w:rPr>
              <w:t>- 组员配合无缝衔接，即兴问答能引用行业数据（如引用De Beers钻石报告</w:t>
            </w:r>
            <w:r>
              <w:rPr>
                <w:rFonts w:hint="eastAsia" w:ascii="Helvetica" w:hAnsi="Helvetica" w:cs="Helvetica" w:eastAsiaTheme="minorEastAsia"/>
                <w:color w:val="000000"/>
                <w:sz w:val="19"/>
                <w:szCs w:val="19"/>
                <w:lang w:eastAsia="zh-CN"/>
              </w:rPr>
              <w:t>，</w:t>
            </w:r>
            <w:r>
              <w:rPr>
                <w:rFonts w:hint="eastAsia" w:ascii="Helvetica" w:hAnsi="Helvetica" w:cs="Helvetica" w:eastAsiaTheme="minorEastAsia"/>
                <w:color w:val="000000"/>
                <w:sz w:val="19"/>
                <w:szCs w:val="19"/>
                <w:lang w:val="en-US" w:eastAsia="zh-CN"/>
              </w:rPr>
              <w:t>能流畅，发音正确，并表述清晰。</w:t>
            </w:r>
          </w:p>
        </w:tc>
        <w:tc>
          <w:tcPr>
            <w:tcW w:w="1445" w:type="dxa"/>
            <w:vAlign w:val="center"/>
          </w:tcPr>
          <w:p w14:paraId="21FF28A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hint="default" w:ascii="Helvetica" w:hAnsi="Helvetica" w:cs="Helvetica" w:eastAsiaTheme="minorEastAsia"/>
                <w:color w:val="000000"/>
                <w:sz w:val="19"/>
                <w:szCs w:val="19"/>
                <w:lang w:val="en-US" w:eastAsia="zh-CN"/>
              </w:rPr>
            </w:pPr>
            <w:r>
              <w:rPr>
                <w:rFonts w:hint="eastAsia" w:ascii="Helvetica" w:hAnsi="Helvetica" w:cs="Helvetica" w:eastAsiaTheme="minorEastAsia"/>
                <w:color w:val="000000"/>
                <w:sz w:val="19"/>
                <w:szCs w:val="19"/>
              </w:rPr>
              <w:t>内容完整但亮点不足，PPT图文匹配度较高</w:t>
            </w:r>
            <w:r>
              <w:rPr>
                <w:rFonts w:hint="eastAsia" w:ascii="Helvetica" w:hAnsi="Helvetica" w:cs="Helvetica" w:eastAsiaTheme="minorEastAsia"/>
                <w:color w:val="000000"/>
                <w:sz w:val="19"/>
                <w:szCs w:val="19"/>
                <w:lang w:eastAsia="zh-CN"/>
              </w:rPr>
              <w:t>，</w:t>
            </w:r>
            <w:r>
              <w:rPr>
                <w:rFonts w:hint="eastAsia" w:ascii="Helvetica" w:hAnsi="Helvetica" w:cs="Helvetica" w:eastAsiaTheme="minorEastAsia"/>
                <w:color w:val="000000"/>
                <w:sz w:val="19"/>
                <w:szCs w:val="19"/>
                <w:lang w:val="en-US" w:eastAsia="zh-CN"/>
              </w:rPr>
              <w:t>文法流利但缺乏抑扬顿挫，</w:t>
            </w:r>
            <w:r>
              <w:rPr>
                <w:rFonts w:hint="eastAsia" w:ascii="Helvetica" w:hAnsi="Helvetica" w:cs="Helvetica" w:eastAsiaTheme="minorEastAsia"/>
                <w:color w:val="000000"/>
                <w:sz w:val="19"/>
                <w:szCs w:val="19"/>
              </w:rPr>
              <w:t>团队分工明确，应答基本正确但缺乏数据佐证</w:t>
            </w:r>
            <w:r>
              <w:rPr>
                <w:rFonts w:hint="eastAsia" w:ascii="Helvetica" w:hAnsi="Helvetica" w:cs="Helvetica" w:eastAsiaTheme="minorEastAsia"/>
                <w:color w:val="000000"/>
                <w:sz w:val="19"/>
                <w:szCs w:val="19"/>
                <w:lang w:eastAsia="zh-CN"/>
              </w:rPr>
              <w:t>，</w:t>
            </w:r>
            <w:r>
              <w:rPr>
                <w:rFonts w:hint="eastAsia" w:ascii="Helvetica" w:hAnsi="Helvetica" w:cs="Helvetica" w:eastAsiaTheme="minorEastAsia"/>
                <w:color w:val="000000"/>
                <w:sz w:val="19"/>
                <w:szCs w:val="19"/>
                <w:lang w:val="en-US" w:eastAsia="zh-CN"/>
              </w:rPr>
              <w:t>发音和表述内容有待加强。</w:t>
            </w:r>
          </w:p>
        </w:tc>
        <w:tc>
          <w:tcPr>
            <w:tcW w:w="1445" w:type="dxa"/>
            <w:vAlign w:val="center"/>
          </w:tcPr>
          <w:p w14:paraId="54C7CBF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hint="default" w:ascii="Helvetica" w:hAnsi="Helvetica" w:cs="Helvetica" w:eastAsiaTheme="minorEastAsia"/>
                <w:color w:val="000000"/>
                <w:sz w:val="19"/>
                <w:szCs w:val="19"/>
                <w:lang w:val="en-US" w:eastAsia="zh-CN"/>
              </w:rPr>
            </w:pPr>
            <w:r>
              <w:rPr>
                <w:rFonts w:hint="eastAsia" w:ascii="Helvetica" w:hAnsi="Helvetica" w:cs="Helvetica" w:eastAsiaTheme="minorEastAsia"/>
                <w:color w:val="000000"/>
                <w:sz w:val="19"/>
                <w:szCs w:val="19"/>
              </w:rPr>
              <w:t>演讲框架松散，PPT文字量过大</w:t>
            </w:r>
            <w:r>
              <w:rPr>
                <w:rFonts w:hint="eastAsia" w:ascii="Helvetica" w:hAnsi="Helvetica" w:cs="Helvetica" w:eastAsiaTheme="minorEastAsia"/>
                <w:color w:val="000000"/>
                <w:sz w:val="19"/>
                <w:szCs w:val="19"/>
                <w:lang w:eastAsia="zh-CN"/>
              </w:rPr>
              <w:t>，</w:t>
            </w:r>
            <w:r>
              <w:rPr>
                <w:rFonts w:hint="eastAsia" w:ascii="Helvetica" w:hAnsi="Helvetica" w:cs="Helvetica" w:eastAsiaTheme="minorEastAsia"/>
                <w:color w:val="000000"/>
                <w:sz w:val="19"/>
                <w:szCs w:val="19"/>
              </w:rPr>
              <w:t>组员配合生硬，应答出现基础错误（如错读Mohs Scale数值）</w:t>
            </w:r>
            <w:r>
              <w:rPr>
                <w:rFonts w:hint="eastAsia" w:ascii="Helvetica" w:hAnsi="Helvetica" w:cs="Helvetica" w:eastAsiaTheme="minorEastAsia"/>
                <w:color w:val="000000"/>
                <w:sz w:val="19"/>
                <w:szCs w:val="19"/>
                <w:lang w:eastAsia="zh-CN"/>
              </w:rPr>
              <w:t>，</w:t>
            </w:r>
            <w:r>
              <w:rPr>
                <w:rFonts w:hint="eastAsia" w:ascii="Helvetica" w:hAnsi="Helvetica" w:cs="Helvetica" w:eastAsiaTheme="minorEastAsia"/>
                <w:color w:val="000000"/>
                <w:sz w:val="19"/>
                <w:szCs w:val="19"/>
                <w:lang w:val="en-US" w:eastAsia="zh-CN"/>
              </w:rPr>
              <w:t>缺乏案例和产品的展示，欠缺表述流利度，表述内容逻辑不够。</w:t>
            </w:r>
          </w:p>
        </w:tc>
        <w:tc>
          <w:tcPr>
            <w:tcW w:w="1445" w:type="dxa"/>
            <w:vAlign w:val="center"/>
          </w:tcPr>
          <w:p w14:paraId="0FE7894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hint="eastAsia" w:ascii="Helvetica" w:hAnsi="Helvetica" w:cs="Helvetica" w:eastAsiaTheme="minorEastAsia"/>
                <w:color w:val="000000"/>
                <w:sz w:val="19"/>
                <w:szCs w:val="19"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color w:val="000000"/>
                <w:sz w:val="19"/>
                <w:szCs w:val="19"/>
              </w:rPr>
              <w:t>主题偏离要求，PPT存在抄袭痕迹- 团队协作破裂，无法回答</w:t>
            </w:r>
            <w:r>
              <w:rPr>
                <w:rFonts w:hint="eastAsia" w:ascii="Helvetica" w:hAnsi="Helvetica" w:cs="Helvetica" w:eastAsiaTheme="minorEastAsia"/>
                <w:color w:val="000000"/>
                <w:sz w:val="19"/>
                <w:szCs w:val="19"/>
                <w:lang w:val="en-US" w:eastAsia="zh-CN"/>
              </w:rPr>
              <w:t>老师与学生的</w:t>
            </w:r>
            <w:r>
              <w:rPr>
                <w:rFonts w:hint="eastAsia" w:ascii="Helvetica" w:hAnsi="Helvetica" w:cs="Helvetica" w:eastAsiaTheme="minorEastAsia"/>
                <w:color w:val="000000"/>
                <w:sz w:val="19"/>
                <w:szCs w:val="19"/>
              </w:rPr>
              <w:t>提问</w:t>
            </w:r>
            <w:r>
              <w:rPr>
                <w:rFonts w:hint="eastAsia" w:ascii="Helvetica" w:hAnsi="Helvetica" w:cs="Helvetica" w:eastAsiaTheme="minorEastAsia"/>
                <w:color w:val="000000"/>
                <w:sz w:val="19"/>
                <w:szCs w:val="19"/>
                <w:lang w:eastAsia="zh-CN"/>
              </w:rPr>
              <w:t>。</w:t>
            </w:r>
            <w:r>
              <w:rPr>
                <w:rFonts w:hint="eastAsia" w:ascii="Helvetica" w:hAnsi="Helvetica" w:cs="Helvetica" w:eastAsiaTheme="minorEastAsia"/>
                <w:color w:val="000000"/>
                <w:sz w:val="19"/>
                <w:szCs w:val="19"/>
                <w:lang w:val="en-US" w:eastAsia="zh-CN"/>
              </w:rPr>
              <w:t>无案例和产品的展示，表述流利度差，表述内容逻辑不通，时间过短。</w:t>
            </w:r>
          </w:p>
        </w:tc>
      </w:tr>
      <w:tr w14:paraId="1F9BD024">
        <w:trPr>
          <w:trHeight w:val="454" w:hRule="atLeast"/>
        </w:trPr>
        <w:tc>
          <w:tcPr>
            <w:tcW w:w="631" w:type="dxa"/>
            <w:vAlign w:val="center"/>
          </w:tcPr>
          <w:p w14:paraId="1B719336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667" w:type="dxa"/>
            <w:vAlign w:val="center"/>
          </w:tcPr>
          <w:p w14:paraId="6F29517C">
            <w:pPr>
              <w:widowControl w:val="0"/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310" w:type="dxa"/>
            <w:vAlign w:val="center"/>
          </w:tcPr>
          <w:p w14:paraId="1F27FE3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  <w:r>
              <w:rPr>
                <w:rFonts w:hint="eastAsia"/>
              </w:rPr>
              <w:t>英文简历</w:t>
            </w:r>
          </w:p>
        </w:tc>
        <w:tc>
          <w:tcPr>
            <w:tcW w:w="1580" w:type="dxa"/>
            <w:vAlign w:val="center"/>
          </w:tcPr>
          <w:p w14:paraId="5C4FE9F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  <w:r>
              <w:rPr>
                <w:rFonts w:hint="eastAsia" w:ascii="Helvetica" w:hAnsi="Helvetica" w:cs="Helvetica" w:eastAsiaTheme="minorEastAsia"/>
                <w:color w:val="000000"/>
                <w:sz w:val="19"/>
                <w:szCs w:val="19"/>
              </w:rPr>
              <w:t>格式</w:t>
            </w:r>
            <w:r>
              <w:rPr>
                <w:rFonts w:hint="eastAsia" w:ascii="Helvetica" w:hAnsi="Helvetica" w:cs="Helvetica" w:eastAsiaTheme="minorEastAsia"/>
                <w:color w:val="000000"/>
                <w:sz w:val="19"/>
                <w:szCs w:val="19"/>
                <w:lang w:val="en-US" w:eastAsia="zh-CN"/>
              </w:rPr>
              <w:t>清晰</w:t>
            </w:r>
            <w:r>
              <w:rPr>
                <w:rFonts w:hint="eastAsia" w:ascii="Helvetica" w:hAnsi="Helvetica" w:cs="Helvetica" w:eastAsiaTheme="minorEastAsia"/>
                <w:color w:val="000000"/>
                <w:sz w:val="19"/>
                <w:szCs w:val="19"/>
              </w:rPr>
              <w:t>，</w:t>
            </w:r>
            <w:r>
              <w:rPr>
                <w:rFonts w:hint="eastAsia" w:ascii="Helvetica" w:hAnsi="Helvetica" w:cs="Helvetica" w:eastAsiaTheme="minorEastAsia"/>
                <w:color w:val="000000"/>
                <w:sz w:val="19"/>
                <w:szCs w:val="19"/>
                <w:lang w:val="en-US" w:eastAsia="zh-CN"/>
              </w:rPr>
              <w:t>内容完整，</w:t>
            </w:r>
            <w:r>
              <w:rPr>
                <w:rFonts w:hint="eastAsia" w:ascii="Helvetica" w:hAnsi="Helvetica" w:cs="Helvetica" w:eastAsiaTheme="minorEastAsia"/>
                <w:color w:val="000000"/>
                <w:sz w:val="19"/>
                <w:szCs w:val="19"/>
              </w:rPr>
              <w:t>技能描述量化突出（如"3D modeled 20+ jewelry pieces with Matrix软件"）求职信嵌入品牌术语</w:t>
            </w:r>
            <w:r>
              <w:rPr>
                <w:rFonts w:hint="eastAsia" w:ascii="Helvetica" w:hAnsi="Helvetica" w:cs="Helvetica" w:eastAsiaTheme="minorEastAsia"/>
                <w:color w:val="000000"/>
                <w:sz w:val="19"/>
                <w:szCs w:val="19"/>
                <w:lang w:val="en-US" w:eastAsia="zh-CN"/>
              </w:rPr>
              <w:t>明确</w:t>
            </w:r>
            <w:r>
              <w:rPr>
                <w:rFonts w:hint="eastAsia" w:ascii="Helvetica" w:hAnsi="Helvetica" w:cs="Helvetica" w:eastAsiaTheme="minorEastAsia"/>
                <w:color w:val="000000"/>
                <w:sz w:val="19"/>
                <w:szCs w:val="19"/>
              </w:rPr>
              <w:t>（如"aspire to contribute to sustainable jewelry ethos"）</w:t>
            </w:r>
          </w:p>
        </w:tc>
        <w:tc>
          <w:tcPr>
            <w:tcW w:w="1445" w:type="dxa"/>
            <w:vAlign w:val="center"/>
          </w:tcPr>
          <w:p w14:paraId="767AD97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hint="eastAsia" w:ascii="Helvetica" w:hAnsi="Helvetica" w:cs="Helvetica" w:eastAsiaTheme="minorEastAsia"/>
                <w:color w:val="000000"/>
                <w:sz w:val="19"/>
                <w:szCs w:val="19"/>
              </w:rPr>
            </w:pPr>
            <w:r>
              <w:rPr>
                <w:rFonts w:hint="eastAsia" w:ascii="Helvetica" w:hAnsi="Helvetica" w:cs="Helvetica" w:eastAsiaTheme="minorEastAsia"/>
                <w:color w:val="000000"/>
                <w:sz w:val="19"/>
                <w:szCs w:val="19"/>
              </w:rPr>
              <w:t>模块清晰但缺乏数据支撑，技能描述泛泛（如"熟悉珠宝设计"）</w:t>
            </w:r>
          </w:p>
          <w:p w14:paraId="00D01AE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hint="eastAsia" w:ascii="Helvetica" w:hAnsi="Helvetica" w:cs="Helvetica" w:eastAsiaTheme="minorEastAsia"/>
                <w:color w:val="000000"/>
                <w:sz w:val="19"/>
                <w:szCs w:val="19"/>
              </w:rPr>
            </w:pPr>
            <w:r>
              <w:rPr>
                <w:rFonts w:hint="eastAsia" w:ascii="Helvetica" w:hAnsi="Helvetica" w:cs="Helvetica" w:eastAsiaTheme="minorEastAsia"/>
                <w:color w:val="000000"/>
                <w:sz w:val="19"/>
                <w:szCs w:val="19"/>
              </w:rPr>
              <w:t xml:space="preserve"> 求职信语法正确但行业关键词密度不足</w:t>
            </w:r>
          </w:p>
          <w:p w14:paraId="23F55DA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hint="default" w:ascii="Helvetica" w:hAnsi="Helvetica" w:cs="Helvetica" w:eastAsiaTheme="minorEastAsia"/>
                <w:color w:val="000000"/>
                <w:sz w:val="19"/>
                <w:szCs w:val="19"/>
                <w:lang w:val="en-US" w:eastAsia="zh-CN"/>
              </w:rPr>
            </w:pPr>
            <w:r>
              <w:rPr>
                <w:rFonts w:hint="eastAsia" w:ascii="Helvetica" w:hAnsi="Helvetica" w:cs="Helvetica" w:eastAsiaTheme="minorEastAsia"/>
                <w:color w:val="000000"/>
                <w:sz w:val="19"/>
                <w:szCs w:val="19"/>
                <w:lang w:val="en-US" w:eastAsia="zh-CN"/>
              </w:rPr>
              <w:t>个人经历和背景支撑材料中等。</w:t>
            </w:r>
          </w:p>
        </w:tc>
        <w:tc>
          <w:tcPr>
            <w:tcW w:w="1445" w:type="dxa"/>
            <w:vAlign w:val="center"/>
          </w:tcPr>
          <w:p w14:paraId="4AA4C5C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hint="default" w:ascii="Helvetica" w:hAnsi="Helvetica" w:cs="Helvetica" w:eastAsiaTheme="minorEastAsia"/>
                <w:color w:val="000000"/>
                <w:sz w:val="19"/>
                <w:szCs w:val="19"/>
                <w:lang w:val="en-US" w:eastAsia="zh-CN"/>
              </w:rPr>
            </w:pPr>
            <w:r>
              <w:rPr>
                <w:rFonts w:hint="eastAsia" w:ascii="Helvetica" w:hAnsi="Helvetica" w:cs="Helvetica" w:eastAsiaTheme="minorEastAsia"/>
                <w:color w:val="000000"/>
                <w:sz w:val="19"/>
                <w:szCs w:val="19"/>
              </w:rPr>
              <w:t>基础信息完整但版式混乱，存在拼写错误求职信套用模板痕迹明显，未体现岗位针对性</w:t>
            </w:r>
            <w:r>
              <w:rPr>
                <w:rFonts w:hint="eastAsia" w:ascii="Helvetica" w:hAnsi="Helvetica" w:cs="Helvetica" w:eastAsiaTheme="minorEastAsia"/>
                <w:color w:val="000000"/>
                <w:sz w:val="19"/>
                <w:szCs w:val="19"/>
                <w:lang w:eastAsia="zh-CN"/>
              </w:rPr>
              <w:t>，</w:t>
            </w:r>
            <w:r>
              <w:rPr>
                <w:rFonts w:hint="eastAsia" w:ascii="Helvetica" w:hAnsi="Helvetica" w:cs="Helvetica" w:eastAsiaTheme="minorEastAsia"/>
                <w:color w:val="000000"/>
                <w:sz w:val="19"/>
                <w:szCs w:val="19"/>
                <w:lang w:val="en-US" w:eastAsia="zh-CN"/>
              </w:rPr>
              <w:t>缺少背景支撑，例如职业经验和教育经历。</w:t>
            </w:r>
          </w:p>
        </w:tc>
        <w:tc>
          <w:tcPr>
            <w:tcW w:w="1445" w:type="dxa"/>
            <w:vAlign w:val="center"/>
          </w:tcPr>
          <w:p w14:paraId="49F1F2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hint="eastAsia" w:ascii="Helvetica" w:hAnsi="Helvetica" w:cs="Helvetica" w:eastAsiaTheme="minorEastAsia"/>
                <w:color w:val="000000"/>
                <w:sz w:val="19"/>
                <w:szCs w:val="19"/>
              </w:rPr>
            </w:pPr>
            <w:r>
              <w:rPr>
                <w:rFonts w:hint="eastAsia" w:ascii="Helvetica" w:hAnsi="Helvetica" w:cs="Helvetica" w:eastAsiaTheme="minorEastAsia"/>
                <w:color w:val="000000"/>
                <w:sz w:val="19"/>
                <w:szCs w:val="19"/>
              </w:rPr>
              <w:t>关键信息缺失（如无作品集链接</w:t>
            </w:r>
            <w:r>
              <w:rPr>
                <w:rFonts w:hint="eastAsia" w:ascii="Helvetica" w:hAnsi="Helvetica" w:cs="Helvetica" w:eastAsiaTheme="minorEastAsia"/>
                <w:color w:val="000000"/>
                <w:sz w:val="19"/>
                <w:szCs w:val="19"/>
                <w:lang w:val="en-US" w:eastAsia="zh-CN"/>
              </w:rPr>
              <w:t>或者缺少职业教育经历</w:t>
            </w:r>
            <w:r>
              <w:rPr>
                <w:rFonts w:hint="eastAsia" w:ascii="Helvetica" w:hAnsi="Helvetica" w:cs="Helvetica" w:eastAsiaTheme="minorEastAsia"/>
                <w:color w:val="000000"/>
                <w:sz w:val="19"/>
                <w:szCs w:val="19"/>
              </w:rPr>
              <w:t>），职业照不符合商务规范</w:t>
            </w:r>
          </w:p>
          <w:p w14:paraId="2E44C73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hint="eastAsia" w:ascii="Helvetica" w:hAnsi="Helvetica" w:cs="Helvetica" w:eastAsiaTheme="minorEastAsia"/>
                <w:color w:val="000000"/>
                <w:sz w:val="19"/>
                <w:szCs w:val="19"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color w:val="000000"/>
                <w:sz w:val="19"/>
                <w:szCs w:val="19"/>
              </w:rPr>
              <w:t>求职信出现严重语法错误或抄袭</w:t>
            </w:r>
            <w:r>
              <w:rPr>
                <w:rFonts w:hint="eastAsia" w:ascii="Helvetica" w:hAnsi="Helvetica" w:cs="Helvetica" w:eastAsiaTheme="minorEastAsia"/>
                <w:color w:val="000000"/>
                <w:sz w:val="19"/>
                <w:szCs w:val="19"/>
                <w:lang w:eastAsia="zh-CN"/>
              </w:rPr>
              <w:t>。</w:t>
            </w:r>
          </w:p>
        </w:tc>
      </w:tr>
      <w:tr w14:paraId="133165EF">
        <w:trPr>
          <w:trHeight w:val="454" w:hRule="atLeast"/>
        </w:trPr>
        <w:tc>
          <w:tcPr>
            <w:tcW w:w="631" w:type="dxa"/>
            <w:vAlign w:val="center"/>
          </w:tcPr>
          <w:p w14:paraId="378CC746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X4</w:t>
            </w:r>
          </w:p>
        </w:tc>
        <w:tc>
          <w:tcPr>
            <w:tcW w:w="667" w:type="dxa"/>
            <w:vAlign w:val="center"/>
          </w:tcPr>
          <w:p w14:paraId="2EC5AC3C">
            <w:pPr>
              <w:widowControl w:val="0"/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310" w:type="dxa"/>
            <w:vAlign w:val="center"/>
          </w:tcPr>
          <w:p w14:paraId="706D518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  <w:r>
              <w:rPr>
                <w:rFonts w:hint="eastAsia" w:ascii="宋体" w:hAnsi="宋体"/>
                <w:bCs/>
                <w:szCs w:val="20"/>
              </w:rPr>
              <w:t>英语配音</w:t>
            </w:r>
          </w:p>
        </w:tc>
        <w:tc>
          <w:tcPr>
            <w:tcW w:w="1580" w:type="dxa"/>
            <w:vAlign w:val="center"/>
          </w:tcPr>
          <w:p w14:paraId="2CDDE98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hint="eastAsia" w:ascii="Helvetica" w:hAnsi="Helvetica" w:cs="Helvetica" w:eastAsiaTheme="minorEastAsia"/>
                <w:color w:val="000000"/>
                <w:sz w:val="19"/>
                <w:szCs w:val="19"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color w:val="000000"/>
                <w:sz w:val="19"/>
                <w:szCs w:val="19"/>
              </w:rPr>
              <w:t>发音达到</w:t>
            </w:r>
            <w:r>
              <w:rPr>
                <w:rFonts w:hint="eastAsia" w:ascii="Helvetica" w:hAnsi="Helvetica" w:cs="Helvetica" w:eastAsiaTheme="minorEastAsia"/>
                <w:color w:val="000000"/>
                <w:sz w:val="19"/>
                <w:szCs w:val="19"/>
                <w:lang w:val="en-US" w:eastAsia="zh-CN"/>
              </w:rPr>
              <w:t>业余或专业</w:t>
            </w:r>
            <w:r>
              <w:rPr>
                <w:rFonts w:hint="eastAsia" w:ascii="Helvetica" w:hAnsi="Helvetica" w:cs="Helvetica" w:eastAsiaTheme="minorEastAsia"/>
                <w:color w:val="000000"/>
                <w:sz w:val="19"/>
                <w:szCs w:val="19"/>
              </w:rPr>
              <w:t>播音员水平，情感张力精准匹配场景（如拍卖会激昂VS售后安抚）</w:t>
            </w:r>
            <w:r>
              <w:rPr>
                <w:rFonts w:hint="eastAsia" w:ascii="Helvetica" w:hAnsi="Helvetica" w:cs="Helvetica" w:eastAsiaTheme="minorEastAsia"/>
                <w:color w:val="000000"/>
                <w:sz w:val="19"/>
                <w:szCs w:val="19"/>
                <w:lang w:eastAsia="zh-CN"/>
              </w:rPr>
              <w:t>，</w:t>
            </w:r>
            <w:r>
              <w:rPr>
                <w:rFonts w:hint="eastAsia" w:ascii="Helvetica" w:hAnsi="Helvetica" w:cs="Helvetica" w:eastAsiaTheme="minorEastAsia"/>
                <w:color w:val="000000"/>
                <w:sz w:val="19"/>
                <w:szCs w:val="19"/>
              </w:rPr>
              <w:t>自主添加符合角色的即兴发挥（如模拟GIA鉴定师权威语气）</w:t>
            </w:r>
            <w:r>
              <w:rPr>
                <w:rFonts w:hint="eastAsia" w:ascii="Helvetica" w:hAnsi="Helvetica" w:cs="Helvetica" w:eastAsiaTheme="minorEastAsia"/>
                <w:color w:val="000000"/>
                <w:sz w:val="19"/>
                <w:szCs w:val="19"/>
                <w:lang w:eastAsia="zh-CN"/>
              </w:rPr>
              <w:t>。</w:t>
            </w:r>
          </w:p>
        </w:tc>
        <w:tc>
          <w:tcPr>
            <w:tcW w:w="1445" w:type="dxa"/>
            <w:vAlign w:val="center"/>
          </w:tcPr>
          <w:p w14:paraId="4172338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hint="eastAsia" w:ascii="Helvetica" w:hAnsi="Helvetica" w:cs="Helvetica" w:eastAsiaTheme="minorEastAsia"/>
                <w:color w:val="000000"/>
                <w:sz w:val="19"/>
                <w:szCs w:val="19"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color w:val="000000"/>
                <w:sz w:val="19"/>
                <w:szCs w:val="19"/>
                <w:lang w:val="en-US" w:eastAsia="zh-CN"/>
              </w:rPr>
              <w:t>配音材料难度中等，</w:t>
            </w:r>
            <w:r>
              <w:rPr>
                <w:rFonts w:hint="eastAsia" w:ascii="Helvetica" w:hAnsi="Helvetica" w:cs="Helvetica" w:eastAsiaTheme="minorEastAsia"/>
                <w:color w:val="000000"/>
                <w:sz w:val="19"/>
                <w:szCs w:val="19"/>
              </w:rPr>
              <w:t>语调自然但偶有连读失误，情感表达基本到位</w:t>
            </w:r>
            <w:r>
              <w:rPr>
                <w:rFonts w:hint="eastAsia" w:ascii="Helvetica" w:hAnsi="Helvetica" w:cs="Helvetica" w:eastAsiaTheme="minorEastAsia"/>
                <w:color w:val="000000"/>
                <w:sz w:val="19"/>
                <w:szCs w:val="19"/>
                <w:lang w:eastAsia="zh-CN"/>
              </w:rPr>
              <w:t>；</w:t>
            </w:r>
          </w:p>
          <w:p w14:paraId="5853FA1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hint="eastAsia" w:ascii="Helvetica" w:hAnsi="Helvetica" w:cs="Helvetica" w:eastAsiaTheme="minorEastAsia"/>
                <w:color w:val="000000"/>
                <w:sz w:val="19"/>
                <w:szCs w:val="19"/>
                <w:lang w:val="en-US" w:eastAsia="zh-CN"/>
              </w:rPr>
            </w:pPr>
            <w:r>
              <w:rPr>
                <w:rFonts w:hint="eastAsia" w:ascii="Helvetica" w:hAnsi="Helvetica" w:cs="Helvetica" w:eastAsiaTheme="minorEastAsia"/>
                <w:color w:val="000000"/>
                <w:sz w:val="19"/>
                <w:szCs w:val="19"/>
              </w:rPr>
              <w:t>能根据脚本完成配音，无明显违和感</w:t>
            </w:r>
            <w:r>
              <w:rPr>
                <w:rFonts w:hint="eastAsia" w:ascii="Helvetica" w:hAnsi="Helvetica" w:cs="Helvetica" w:eastAsiaTheme="minorEastAsia"/>
                <w:color w:val="000000"/>
                <w:sz w:val="19"/>
                <w:szCs w:val="19"/>
                <w:lang w:eastAsia="zh-CN"/>
              </w:rPr>
              <w:t>。</w:t>
            </w:r>
          </w:p>
        </w:tc>
        <w:tc>
          <w:tcPr>
            <w:tcW w:w="1445" w:type="dxa"/>
            <w:vAlign w:val="center"/>
          </w:tcPr>
          <w:p w14:paraId="28AD2FD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hint="eastAsia" w:ascii="Helvetica" w:hAnsi="Helvetica" w:cs="Helvetica" w:eastAsiaTheme="minorEastAsia"/>
                <w:color w:val="000000"/>
                <w:sz w:val="19"/>
                <w:szCs w:val="19"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color w:val="000000"/>
                <w:sz w:val="19"/>
                <w:szCs w:val="19"/>
                <w:lang w:val="en-US" w:eastAsia="zh-CN"/>
              </w:rPr>
              <w:t>配音材料难度低，</w:t>
            </w:r>
            <w:r>
              <w:rPr>
                <w:rFonts w:hint="eastAsia" w:ascii="Helvetica" w:hAnsi="Helvetica" w:cs="Helvetica" w:eastAsiaTheme="minorEastAsia"/>
                <w:color w:val="000000"/>
                <w:sz w:val="19"/>
                <w:szCs w:val="19"/>
              </w:rPr>
              <w:t>存在元音发音错误（如/æ/与/ɑː/混淆），情感平淡</w:t>
            </w:r>
            <w:r>
              <w:rPr>
                <w:rFonts w:hint="eastAsia" w:ascii="Helvetica" w:hAnsi="Helvetica" w:cs="Helvetica" w:eastAsiaTheme="minorEastAsia"/>
                <w:color w:val="000000"/>
                <w:sz w:val="19"/>
                <w:szCs w:val="19"/>
                <w:lang w:eastAsia="zh-CN"/>
              </w:rPr>
              <w:t>，</w:t>
            </w:r>
            <w:r>
              <w:rPr>
                <w:rFonts w:hint="eastAsia" w:ascii="Helvetica" w:hAnsi="Helvetica" w:cs="Helvetica" w:eastAsiaTheme="minorEastAsia"/>
                <w:color w:val="000000"/>
                <w:sz w:val="19"/>
                <w:szCs w:val="19"/>
              </w:rPr>
              <w:t>仅完成基础台词朗读，缺乏场景代入感</w:t>
            </w:r>
            <w:r>
              <w:rPr>
                <w:rFonts w:hint="eastAsia" w:ascii="Helvetica" w:hAnsi="Helvetica" w:cs="Helvetica" w:eastAsiaTheme="minorEastAsia"/>
                <w:color w:val="000000"/>
                <w:sz w:val="19"/>
                <w:szCs w:val="19"/>
                <w:lang w:eastAsia="zh-CN"/>
              </w:rPr>
              <w:t>。</w:t>
            </w:r>
          </w:p>
        </w:tc>
        <w:tc>
          <w:tcPr>
            <w:tcW w:w="1445" w:type="dxa"/>
            <w:vAlign w:val="center"/>
          </w:tcPr>
          <w:p w14:paraId="795F5A2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hint="eastAsia" w:ascii="Helvetica" w:hAnsi="Helvetica" w:cs="Helvetica" w:eastAsiaTheme="minorEastAsia"/>
                <w:color w:val="000000"/>
                <w:sz w:val="19"/>
                <w:szCs w:val="19"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color w:val="000000"/>
                <w:sz w:val="19"/>
                <w:szCs w:val="19"/>
                <w:lang w:val="en-US" w:eastAsia="zh-CN"/>
              </w:rPr>
              <w:t>配音材料时间短，</w:t>
            </w:r>
            <w:r>
              <w:rPr>
                <w:rFonts w:hint="eastAsia" w:ascii="Helvetica" w:hAnsi="Helvetica" w:cs="Helvetica" w:eastAsiaTheme="minorEastAsia"/>
                <w:color w:val="000000"/>
                <w:sz w:val="19"/>
                <w:szCs w:val="19"/>
              </w:rPr>
              <w:t>发音严重影响理解，节奏混乱脱稿</w:t>
            </w:r>
            <w:r>
              <w:rPr>
                <w:rFonts w:hint="eastAsia" w:ascii="Helvetica" w:hAnsi="Helvetica" w:cs="Helvetica" w:eastAsiaTheme="minorEastAsia"/>
                <w:color w:val="000000"/>
                <w:sz w:val="19"/>
                <w:szCs w:val="19"/>
                <w:lang w:eastAsia="zh-CN"/>
              </w:rPr>
              <w:t>；</w:t>
            </w:r>
          </w:p>
          <w:p w14:paraId="1711713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hint="eastAsia" w:ascii="Helvetica" w:hAnsi="Helvetica" w:cs="Helvetica" w:eastAsiaTheme="minorEastAsia"/>
                <w:color w:val="000000"/>
                <w:sz w:val="19"/>
                <w:szCs w:val="19"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color w:val="000000"/>
                <w:sz w:val="19"/>
                <w:szCs w:val="19"/>
              </w:rPr>
              <w:t>未按脚本要求演绎（如将商务谈判配成日常聊天</w:t>
            </w:r>
            <w:r>
              <w:rPr>
                <w:rFonts w:hint="eastAsia" w:ascii="Helvetica" w:hAnsi="Helvetica" w:cs="Helvetica" w:eastAsiaTheme="minorEastAsia"/>
                <w:color w:val="000000"/>
                <w:sz w:val="19"/>
                <w:szCs w:val="19"/>
                <w:lang w:eastAsia="zh-CN"/>
              </w:rPr>
              <w:t>）。</w:t>
            </w:r>
          </w:p>
        </w:tc>
      </w:tr>
    </w:tbl>
    <w:p w14:paraId="69204D93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 xml:space="preserve">六、其他需要说明的问题 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6"/>
      </w:tblGrid>
      <w:tr w14:paraId="54C2611D">
        <w:tc>
          <w:tcPr>
            <w:tcW w:w="8276" w:type="dxa"/>
          </w:tcPr>
          <w:p w14:paraId="174CF2BF">
            <w:pPr>
              <w:pStyle w:val="14"/>
              <w:widowControl w:val="0"/>
              <w:jc w:val="left"/>
              <w:rPr>
                <w:rFonts w:ascii="仿宋" w:hAnsi="仿宋" w:eastAsia="仿宋" w:cs="仿宋"/>
              </w:rPr>
            </w:pPr>
          </w:p>
          <w:p w14:paraId="447EEFCD">
            <w:pPr>
              <w:pStyle w:val="14"/>
              <w:widowControl w:val="0"/>
              <w:jc w:val="left"/>
              <w:rPr>
                <w:rFonts w:ascii="黑体"/>
              </w:rPr>
            </w:pPr>
          </w:p>
        </w:tc>
      </w:tr>
    </w:tbl>
    <w:p w14:paraId="401486FA">
      <w:pPr>
        <w:pStyle w:val="16"/>
        <w:rPr>
          <w:rFonts w:ascii="黑体" w:hAnsi="宋体"/>
          <w:sz w:val="18"/>
          <w:szCs w:val="16"/>
        </w:rPr>
      </w:pPr>
    </w:p>
    <w:sectPr>
      <w:headerReference r:id="rId3" w:type="default"/>
      <w:pgSz w:w="11906" w:h="16838"/>
      <w:pgMar w:top="1440" w:right="1800" w:bottom="1440" w:left="1800" w:header="397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方正小标宋简体">
    <w:altName w:val="汉仪书宋二KW"/>
    <w:panose1 w:val="020B0604020202020204"/>
    <w:charset w:val="86"/>
    <w:family w:val="script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Arial Regular">
    <w:panose1 w:val="020B0604020202090204"/>
    <w:charset w:val="00"/>
    <w:family w:val="auto"/>
    <w:pitch w:val="default"/>
    <w:sig w:usb0="E0000AFF" w:usb1="00007843" w:usb2="00000001" w:usb3="00000000" w:csb0="400001BF" w:csb1="DFF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8C7585">
    <w:pPr>
      <w:jc w:val="right"/>
      <w:rPr>
        <w:rFonts w:ascii="方正小标宋简体" w:hAnsi="方正小标宋简体" w:eastAsia="方正小标宋简体"/>
      </w:rPr>
    </w:pPr>
    <w:r>
      <w:rPr>
        <w:rFonts w:ascii="方正小标宋简体" w:hAnsi="方正小标宋简体" w:eastAsia="方正小标宋简体"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6F13A8E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SJQU-QR-JW-055（A0）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0.05pt;margin-top:14.6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L7hkpnU&#10;AAAACQEAAA8AAAAAAAAAAQAgAAAAIgAAAGRycy9kb3ducmV2LnhtbFBLAQIUABQAAAAIAIdO4kAT&#10;jzfzXQIAAKUEAAAOAAAAAAAAAAEAIAAAACMBAABkcnMvZTJvRG9jLnhtbFBLBQYAAAAABgAGAFkB&#10;AADy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16F13A8E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SJQU-QR-JW-055（A0）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401"/>
    <w:rsid w:val="001543DD"/>
    <w:rsid w:val="0017132D"/>
    <w:rsid w:val="00222EB9"/>
    <w:rsid w:val="003E3D14"/>
    <w:rsid w:val="00425DB0"/>
    <w:rsid w:val="00484F2F"/>
    <w:rsid w:val="004C5401"/>
    <w:rsid w:val="0058600D"/>
    <w:rsid w:val="005A4905"/>
    <w:rsid w:val="0065150D"/>
    <w:rsid w:val="00691261"/>
    <w:rsid w:val="00735AB7"/>
    <w:rsid w:val="007E30E4"/>
    <w:rsid w:val="007F646D"/>
    <w:rsid w:val="0094362A"/>
    <w:rsid w:val="009F7822"/>
    <w:rsid w:val="00A069AC"/>
    <w:rsid w:val="00A85115"/>
    <w:rsid w:val="00B1226D"/>
    <w:rsid w:val="00C070C4"/>
    <w:rsid w:val="00C32E8B"/>
    <w:rsid w:val="00D350D9"/>
    <w:rsid w:val="00E3303B"/>
    <w:rsid w:val="00E520D3"/>
    <w:rsid w:val="00E85340"/>
    <w:rsid w:val="00FF1ECF"/>
    <w:rsid w:val="3FB950E1"/>
    <w:rsid w:val="5FBFCAE0"/>
    <w:rsid w:val="7B7BE686"/>
    <w:rsid w:val="7FD3660E"/>
    <w:rsid w:val="B7AD4D6A"/>
    <w:rsid w:val="D77F9C68"/>
    <w:rsid w:val="FBD3473D"/>
    <w:rsid w:val="FEDF9C4A"/>
    <w:rsid w:val="FFFCC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0"/>
    <w:qFormat/>
    <w:uiPriority w:val="99"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unhideWhenUsed/>
    <w:uiPriority w:val="99"/>
    <w:pPr>
      <w:spacing w:before="100" w:beforeAutospacing="1" w:after="100" w:afterAutospacing="1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字符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semiHidden/>
    <w:qFormat/>
    <w:uiPriority w:val="99"/>
    <w:rPr>
      <w:sz w:val="18"/>
      <w:szCs w:val="18"/>
    </w:rPr>
  </w:style>
  <w:style w:type="paragraph" w:customStyle="1" w:styleId="13">
    <w:name w:val="表格标题DG"/>
    <w:basedOn w:val="1"/>
    <w:qFormat/>
    <w:uiPriority w:val="0"/>
    <w:pPr>
      <w:snapToGrid w:val="0"/>
      <w:jc w:val="center"/>
    </w:pPr>
    <w:rPr>
      <w:rFonts w:ascii="Arial" w:hAnsi="Arial" w:eastAsia="黑体"/>
      <w:bCs/>
      <w:color w:val="000000"/>
      <w:sz w:val="21"/>
      <w:szCs w:val="20"/>
    </w:rPr>
  </w:style>
  <w:style w:type="paragraph" w:customStyle="1" w:styleId="14">
    <w:name w:val="表格正文DG"/>
    <w:basedOn w:val="1"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customStyle="1" w:styleId="15">
    <w:name w:val="列表段落1"/>
    <w:basedOn w:val="1"/>
    <w:unhideWhenUsed/>
    <w:uiPriority w:val="99"/>
    <w:pPr>
      <w:ind w:firstLine="420" w:firstLineChars="200"/>
    </w:pPr>
  </w:style>
  <w:style w:type="paragraph" w:customStyle="1" w:styleId="16">
    <w:name w:val="一级标题DG"/>
    <w:basedOn w:val="1"/>
    <w:qFormat/>
    <w:uiPriority w:val="0"/>
    <w:pPr>
      <w:spacing w:line="480" w:lineRule="auto"/>
      <w:outlineLvl w:val="0"/>
    </w:pPr>
    <w:rPr>
      <w:rFonts w:ascii="Arial" w:hAnsi="Arial" w:eastAsia="黑体"/>
      <w:sz w:val="28"/>
    </w:rPr>
  </w:style>
  <w:style w:type="paragraph" w:customStyle="1" w:styleId="17">
    <w:name w:val="二级标题DG"/>
    <w:basedOn w:val="6"/>
    <w:qFormat/>
    <w:uiPriority w:val="0"/>
    <w:pPr>
      <w:spacing w:before="25" w:beforeLines="25" w:beforeAutospacing="0" w:after="50" w:afterLines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18">
    <w:name w:val="正文DG"/>
    <w:basedOn w:val="1"/>
    <w:qFormat/>
    <w:uiPriority w:val="0"/>
    <w:pPr>
      <w:snapToGrid w:val="0"/>
      <w:spacing w:line="440" w:lineRule="exact"/>
      <w:ind w:firstLine="480" w:firstLineChars="200"/>
    </w:pPr>
    <w:rPr>
      <w:rFonts w:ascii="Times New Roman" w:hAnsi="Times New Roman" w:cs="Times New Roman"/>
      <w:color w:val="000000"/>
    </w:rPr>
  </w:style>
  <w:style w:type="character" w:customStyle="1" w:styleId="19">
    <w:name w:val="标题 1 字符"/>
    <w:basedOn w:val="9"/>
    <w:link w:val="2"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0">
    <w:name w:val="批注文字 字符"/>
    <w:basedOn w:val="9"/>
    <w:link w:val="3"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1">
    <w:name w:val="editor-text-node"/>
    <w:basedOn w:val="9"/>
    <w:uiPriority w:val="0"/>
  </w:style>
  <w:style w:type="character" w:customStyle="1" w:styleId="22">
    <w:name w:val="占位符文本1"/>
    <w:basedOn w:val="9"/>
    <w:unhideWhenUsed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502</Words>
  <Characters>2867</Characters>
  <Lines>23</Lines>
  <Paragraphs>6</Paragraphs>
  <TotalTime>3</TotalTime>
  <ScaleCrop>false</ScaleCrop>
  <LinksUpToDate>false</LinksUpToDate>
  <CharactersWithSpaces>3363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2023-12-22T06:49:00Z</dcterms:created>
  <dc:creator>juvg</dc:creator>
  <cp:lastModifiedBy>378444128@qq.com</cp:lastModifiedBy>
  <cp:lastPrinted>2024-03-05T18:43:00Z</cp:lastPrinted>
  <dcterms:modified xsi:type="dcterms:W3CDTF">2025-02-24T08:35:07Z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A8568ACAAD7DCEE66F8F8265FAD1A217_33</vt:lpwstr>
  </property>
</Properties>
</file>